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71F" w:rsidRPr="006973B5" w:rsidRDefault="00D9171F" w:rsidP="00D9171F">
      <w:pPr>
        <w:tabs>
          <w:tab w:val="right" w:pos="9639"/>
        </w:tabs>
        <w:spacing w:after="0"/>
        <w:rPr>
          <w:rFonts w:ascii="Times New Roman" w:hAnsi="Times New Roman" w:cs="Times New Roman"/>
          <w:b/>
          <w:bCs/>
          <w:sz w:val="24"/>
          <w:szCs w:val="20"/>
        </w:rPr>
      </w:pPr>
      <w:r w:rsidRPr="006973B5">
        <w:rPr>
          <w:rFonts w:ascii="Times New Roman" w:hAnsi="Times New Roman" w:cs="Times New Roman"/>
          <w:b/>
          <w:sz w:val="24"/>
          <w:szCs w:val="20"/>
        </w:rPr>
        <w:t xml:space="preserve">MINISTERE DE L'EMPLOI ET DE LA                                   REPUBLIQUE DU MALI   </w:t>
      </w:r>
    </w:p>
    <w:p w:rsidR="00D9171F" w:rsidRPr="006973B5" w:rsidRDefault="00D9171F" w:rsidP="00D9171F">
      <w:pPr>
        <w:spacing w:after="0"/>
        <w:jc w:val="both"/>
        <w:rPr>
          <w:rFonts w:ascii="Times New Roman" w:hAnsi="Times New Roman" w:cs="Times New Roman"/>
          <w:b/>
          <w:bCs/>
          <w:sz w:val="24"/>
          <w:szCs w:val="20"/>
        </w:rPr>
      </w:pPr>
      <w:r w:rsidRPr="006973B5">
        <w:rPr>
          <w:rFonts w:ascii="Times New Roman" w:hAnsi="Times New Roman" w:cs="Times New Roman"/>
          <w:b/>
          <w:sz w:val="24"/>
          <w:szCs w:val="20"/>
        </w:rPr>
        <w:t xml:space="preserve">FORMATION PROFESSIONNELLE </w:t>
      </w:r>
      <w:r w:rsidRPr="006973B5">
        <w:rPr>
          <w:rFonts w:ascii="Times New Roman" w:hAnsi="Times New Roman" w:cs="Times New Roman"/>
          <w:b/>
          <w:sz w:val="24"/>
          <w:szCs w:val="20"/>
        </w:rPr>
        <w:tab/>
        <w:t xml:space="preserve">                      </w:t>
      </w:r>
      <w:r w:rsidRPr="006973B5">
        <w:rPr>
          <w:rFonts w:ascii="Times New Roman" w:hAnsi="Times New Roman" w:cs="Times New Roman"/>
          <w:b/>
          <w:sz w:val="24"/>
          <w:szCs w:val="20"/>
        </w:rPr>
        <w:tab/>
        <w:t>UN PEUPLE – UN BUT – UNE FOI</w:t>
      </w:r>
    </w:p>
    <w:p w:rsidR="00D9171F" w:rsidRPr="006973B5" w:rsidRDefault="00D9171F" w:rsidP="00D9171F">
      <w:pPr>
        <w:spacing w:after="0"/>
        <w:rPr>
          <w:rFonts w:ascii="Times New Roman" w:hAnsi="Times New Roman" w:cs="Times New Roman"/>
          <w:b/>
          <w:bCs/>
          <w:sz w:val="24"/>
          <w:szCs w:val="20"/>
        </w:rPr>
      </w:pPr>
      <w:r w:rsidRPr="006973B5">
        <w:rPr>
          <w:rFonts w:ascii="Times New Roman" w:hAnsi="Times New Roman" w:cs="Times New Roman"/>
          <w:b/>
          <w:sz w:val="24"/>
          <w:szCs w:val="20"/>
        </w:rPr>
        <w:t xml:space="preserve">                ********************* </w:t>
      </w:r>
    </w:p>
    <w:p w:rsidR="00D9171F" w:rsidRPr="006973B5" w:rsidRDefault="00D9171F" w:rsidP="00D9171F">
      <w:pPr>
        <w:spacing w:after="0"/>
        <w:rPr>
          <w:rFonts w:ascii="Times New Roman" w:hAnsi="Times New Roman" w:cs="Times New Roman"/>
          <w:b/>
          <w:bCs/>
          <w:sz w:val="24"/>
          <w:szCs w:val="20"/>
        </w:rPr>
      </w:pPr>
      <w:r w:rsidRPr="006973B5">
        <w:rPr>
          <w:rFonts w:ascii="Times New Roman" w:hAnsi="Times New Roman" w:cs="Times New Roman"/>
          <w:b/>
          <w:sz w:val="24"/>
          <w:szCs w:val="20"/>
        </w:rPr>
        <w:t xml:space="preserve">OBSERVATOIRE NATIONAL DE L’EMPLOI   </w:t>
      </w:r>
    </w:p>
    <w:p w:rsidR="00D9171F" w:rsidRPr="006973B5" w:rsidRDefault="00D9171F" w:rsidP="00D9171F">
      <w:pPr>
        <w:spacing w:after="0"/>
        <w:ind w:left="-113"/>
        <w:rPr>
          <w:rFonts w:ascii="Times New Roman" w:hAnsi="Times New Roman" w:cs="Times New Roman"/>
          <w:b/>
          <w:bCs/>
          <w:sz w:val="24"/>
          <w:szCs w:val="20"/>
        </w:rPr>
      </w:pPr>
      <w:r w:rsidRPr="006973B5">
        <w:rPr>
          <w:rFonts w:ascii="Times New Roman" w:hAnsi="Times New Roman" w:cs="Times New Roman"/>
          <w:b/>
          <w:sz w:val="24"/>
          <w:szCs w:val="20"/>
        </w:rPr>
        <w:t xml:space="preserve">                    ET DE LA FORMATION</w:t>
      </w:r>
    </w:p>
    <w:p w:rsidR="00D9171F" w:rsidRPr="006973B5" w:rsidRDefault="00D9171F" w:rsidP="00D9171F">
      <w:pPr>
        <w:spacing w:after="0"/>
        <w:rPr>
          <w:rFonts w:ascii="Times New Roman" w:hAnsi="Times New Roman" w:cs="Times New Roman"/>
          <w:b/>
          <w:bCs/>
          <w:sz w:val="28"/>
        </w:rPr>
      </w:pPr>
      <w:r w:rsidRPr="006973B5">
        <w:rPr>
          <w:rFonts w:ascii="Times New Roman" w:hAnsi="Times New Roman" w:cs="Times New Roman"/>
          <w:b/>
          <w:noProof/>
          <w:sz w:val="28"/>
        </w:rPr>
        <w:t xml:space="preserve">                 </w:t>
      </w:r>
      <w:r w:rsidRPr="006973B5">
        <w:rPr>
          <w:rFonts w:ascii="Times New Roman" w:hAnsi="Times New Roman" w:cs="Times New Roman"/>
          <w:b/>
          <w:noProof/>
          <w:sz w:val="28"/>
          <w:lang w:eastAsia="fr-FR"/>
        </w:rPr>
        <w:drawing>
          <wp:inline distT="0" distB="0" distL="0" distR="0" wp14:anchorId="0CB2FC8F" wp14:editId="498FB3A5">
            <wp:extent cx="899795" cy="2781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278130"/>
                    </a:xfrm>
                    <a:prstGeom prst="rect">
                      <a:avLst/>
                    </a:prstGeom>
                    <a:noFill/>
                    <a:ln>
                      <a:noFill/>
                    </a:ln>
                  </pic:spPr>
                </pic:pic>
              </a:graphicData>
            </a:graphic>
          </wp:inline>
        </w:drawing>
      </w:r>
    </w:p>
    <w:p w:rsidR="00D9171F" w:rsidRPr="006973B5" w:rsidRDefault="00D9171F" w:rsidP="00D9171F">
      <w:pPr>
        <w:spacing w:after="0"/>
        <w:rPr>
          <w:rFonts w:ascii="Arial" w:hAnsi="Arial" w:cs="Arial"/>
          <w:b/>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D9171F" w:rsidRPr="006973B5" w:rsidRDefault="00D9171F" w:rsidP="007A0F56">
      <w:pPr>
        <w:spacing w:after="0"/>
        <w:rPr>
          <w:rFonts w:ascii="Times New Roman" w:eastAsia="Times New Roman" w:hAnsi="Times New Roman" w:cs="Times New Roman"/>
          <w:color w:val="000000"/>
          <w:sz w:val="20"/>
          <w:szCs w:val="20"/>
          <w:lang w:eastAsia="fr-FR"/>
        </w:rPr>
      </w:pPr>
    </w:p>
    <w:p w:rsidR="00D9171F" w:rsidRPr="006973B5" w:rsidRDefault="00D9171F" w:rsidP="007A0F56">
      <w:pPr>
        <w:spacing w:after="0"/>
        <w:rPr>
          <w:rFonts w:ascii="Times New Roman" w:eastAsia="Times New Roman" w:hAnsi="Times New Roman" w:cs="Times New Roman"/>
          <w:color w:val="000000"/>
          <w:sz w:val="20"/>
          <w:szCs w:val="20"/>
          <w:lang w:eastAsia="fr-FR"/>
        </w:rPr>
      </w:pPr>
    </w:p>
    <w:p w:rsidR="00D9171F" w:rsidRPr="006973B5" w:rsidRDefault="00D9171F" w:rsidP="007A0F56">
      <w:pPr>
        <w:spacing w:after="0"/>
        <w:rPr>
          <w:rFonts w:ascii="Times New Roman" w:eastAsia="Times New Roman" w:hAnsi="Times New Roman" w:cs="Times New Roman"/>
          <w:color w:val="000000"/>
          <w:sz w:val="20"/>
          <w:szCs w:val="20"/>
          <w:lang w:eastAsia="fr-FR"/>
        </w:rPr>
      </w:pPr>
    </w:p>
    <w:p w:rsidR="00D9171F" w:rsidRPr="006973B5" w:rsidRDefault="00D9171F" w:rsidP="007A0F56">
      <w:pPr>
        <w:spacing w:after="0"/>
        <w:rPr>
          <w:rFonts w:ascii="Times New Roman" w:eastAsia="Times New Roman" w:hAnsi="Times New Roman" w:cs="Times New Roman"/>
          <w:color w:val="000000"/>
          <w:sz w:val="20"/>
          <w:szCs w:val="20"/>
          <w:lang w:eastAsia="fr-FR"/>
        </w:rPr>
      </w:pPr>
    </w:p>
    <w:p w:rsidR="00D9171F" w:rsidRPr="006973B5" w:rsidRDefault="00D9171F" w:rsidP="007A0F56">
      <w:pPr>
        <w:spacing w:after="0"/>
        <w:rPr>
          <w:rFonts w:ascii="Times New Roman" w:eastAsia="Times New Roman" w:hAnsi="Times New Roman" w:cs="Times New Roman"/>
          <w:color w:val="000000"/>
          <w:sz w:val="20"/>
          <w:szCs w:val="20"/>
          <w:lang w:eastAsia="fr-FR"/>
        </w:rPr>
      </w:pPr>
    </w:p>
    <w:p w:rsidR="00D51017" w:rsidRPr="006973B5" w:rsidRDefault="00D51017" w:rsidP="007A0F56">
      <w:pPr>
        <w:spacing w:after="0"/>
        <w:rPr>
          <w:rFonts w:ascii="Times New Roman" w:eastAsia="Times New Roman" w:hAnsi="Times New Roman" w:cs="Times New Roman"/>
          <w:color w:val="000000"/>
          <w:sz w:val="20"/>
          <w:szCs w:val="20"/>
          <w:lang w:eastAsia="fr-FR"/>
        </w:rPr>
      </w:pPr>
    </w:p>
    <w:p w:rsidR="00D51017" w:rsidRPr="006973B5" w:rsidRDefault="00D51017" w:rsidP="007A0F56">
      <w:pPr>
        <w:spacing w:after="0"/>
        <w:rPr>
          <w:rFonts w:ascii="Times New Roman" w:eastAsia="Times New Roman" w:hAnsi="Times New Roman" w:cs="Times New Roman"/>
          <w:color w:val="000000"/>
          <w:sz w:val="20"/>
          <w:szCs w:val="20"/>
          <w:lang w:eastAsia="fr-FR"/>
        </w:rPr>
      </w:pPr>
    </w:p>
    <w:p w:rsidR="00D51017" w:rsidRPr="006973B5" w:rsidRDefault="00D51017" w:rsidP="007A0F56">
      <w:pPr>
        <w:spacing w:after="0"/>
        <w:rPr>
          <w:rFonts w:ascii="Times New Roman" w:eastAsia="Times New Roman" w:hAnsi="Times New Roman" w:cs="Times New Roman"/>
          <w:color w:val="000000"/>
          <w:sz w:val="20"/>
          <w:szCs w:val="20"/>
          <w:lang w:eastAsia="fr-FR"/>
        </w:rPr>
      </w:pPr>
    </w:p>
    <w:p w:rsidR="00D51017" w:rsidRPr="006973B5" w:rsidRDefault="00D51017" w:rsidP="007A0F56">
      <w:pPr>
        <w:spacing w:after="0"/>
        <w:rPr>
          <w:rFonts w:ascii="Times New Roman" w:eastAsia="Times New Roman" w:hAnsi="Times New Roman" w:cs="Times New Roman"/>
          <w:color w:val="000000"/>
          <w:sz w:val="20"/>
          <w:szCs w:val="20"/>
          <w:lang w:eastAsia="fr-FR"/>
        </w:rPr>
      </w:pPr>
    </w:p>
    <w:p w:rsidR="00D51017" w:rsidRPr="006973B5" w:rsidRDefault="00D51017" w:rsidP="007A0F56">
      <w:pPr>
        <w:spacing w:after="0"/>
        <w:rPr>
          <w:rFonts w:ascii="Times New Roman" w:eastAsia="Times New Roman" w:hAnsi="Times New Roman" w:cs="Times New Roman"/>
          <w:color w:val="000000"/>
          <w:sz w:val="20"/>
          <w:szCs w:val="20"/>
          <w:lang w:eastAsia="fr-FR"/>
        </w:rPr>
      </w:pPr>
    </w:p>
    <w:p w:rsidR="00D51017" w:rsidRPr="006973B5" w:rsidRDefault="00D51017" w:rsidP="007A0F56">
      <w:pPr>
        <w:spacing w:after="0"/>
        <w:rPr>
          <w:rFonts w:ascii="Times New Roman" w:eastAsia="Times New Roman" w:hAnsi="Times New Roman" w:cs="Times New Roman"/>
          <w:color w:val="000000"/>
          <w:sz w:val="20"/>
          <w:szCs w:val="20"/>
          <w:lang w:eastAsia="fr-FR"/>
        </w:rPr>
      </w:pPr>
    </w:p>
    <w:p w:rsidR="00D51017" w:rsidRPr="006973B5" w:rsidRDefault="00D51017" w:rsidP="007A0F56">
      <w:pPr>
        <w:spacing w:after="0"/>
        <w:rPr>
          <w:rFonts w:ascii="Times New Roman" w:eastAsia="Times New Roman" w:hAnsi="Times New Roman" w:cs="Times New Roman"/>
          <w:color w:val="000000"/>
          <w:sz w:val="20"/>
          <w:szCs w:val="20"/>
          <w:lang w:eastAsia="fr-FR"/>
        </w:rPr>
      </w:pPr>
    </w:p>
    <w:p w:rsidR="00D9171F" w:rsidRPr="006973B5" w:rsidRDefault="00D9171F"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3D6B5F" w:rsidRDefault="003D6B5F" w:rsidP="003D6B5F">
      <w:pPr>
        <w:pBdr>
          <w:top w:val="thinThickThinSmallGap" w:sz="24" w:space="1" w:color="00B0F0"/>
          <w:left w:val="thinThickThinSmallGap" w:sz="24" w:space="4" w:color="00B0F0"/>
          <w:bottom w:val="thinThickThinSmallGap" w:sz="24" w:space="1" w:color="00B0F0"/>
          <w:right w:val="thinThickThinSmallGap" w:sz="24" w:space="4" w:color="00B0F0"/>
        </w:pBdr>
        <w:spacing w:after="0"/>
        <w:jc w:val="center"/>
        <w:rPr>
          <w:rFonts w:ascii="Times New Roman" w:eastAsia="Times New Roman" w:hAnsi="Times New Roman" w:cs="Times New Roman"/>
          <w:color w:val="000000"/>
          <w:sz w:val="44"/>
          <w:szCs w:val="20"/>
          <w:lang w:eastAsia="fr-FR"/>
        </w:rPr>
      </w:pPr>
      <w:r w:rsidRPr="003D6B5F">
        <w:rPr>
          <w:rFonts w:ascii="Times New Roman" w:hAnsi="Times New Roman" w:cs="Times New Roman"/>
          <w:b/>
          <w:sz w:val="52"/>
        </w:rPr>
        <w:t>E</w:t>
      </w:r>
      <w:r w:rsidRPr="003D6B5F">
        <w:rPr>
          <w:rFonts w:ascii="Times New Roman" w:hAnsi="Times New Roman" w:cs="Times New Roman"/>
          <w:b/>
          <w:sz w:val="52"/>
        </w:rPr>
        <w:t xml:space="preserve">tude sur le </w:t>
      </w:r>
      <w:r w:rsidRPr="003D6B5F">
        <w:rPr>
          <w:rFonts w:ascii="Times New Roman" w:eastAsia="Calibri" w:hAnsi="Times New Roman" w:cs="Times New Roman"/>
          <w:b/>
          <w:color w:val="000000"/>
          <w:sz w:val="52"/>
          <w:szCs w:val="24"/>
        </w:rPr>
        <w:t>Diagnostic du profil et du marché de l’emploi des jeunes au Mali</w:t>
      </w:r>
    </w:p>
    <w:p w:rsidR="00016BC6" w:rsidRPr="003D6B5F" w:rsidRDefault="00016BC6" w:rsidP="003D6B5F">
      <w:pPr>
        <w:spacing w:after="0"/>
        <w:jc w:val="center"/>
        <w:rPr>
          <w:rFonts w:ascii="Times New Roman" w:eastAsia="Times New Roman" w:hAnsi="Times New Roman" w:cs="Times New Roman"/>
          <w:color w:val="000000"/>
          <w:sz w:val="4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8F2AC5" w:rsidRDefault="008F2AC5" w:rsidP="008F2AC5">
      <w:pPr>
        <w:spacing w:after="0"/>
        <w:jc w:val="center"/>
        <w:rPr>
          <w:rFonts w:ascii="Times New Roman" w:eastAsia="Times New Roman" w:hAnsi="Times New Roman" w:cs="Times New Roman"/>
          <w:b/>
          <w:color w:val="000000"/>
          <w:sz w:val="36"/>
          <w:szCs w:val="20"/>
          <w:lang w:eastAsia="fr-FR"/>
        </w:rPr>
      </w:pPr>
      <w:r w:rsidRPr="008F2AC5">
        <w:rPr>
          <w:rFonts w:ascii="Times New Roman" w:eastAsia="Times New Roman" w:hAnsi="Times New Roman" w:cs="Times New Roman"/>
          <w:b/>
          <w:color w:val="000000"/>
          <w:sz w:val="36"/>
          <w:szCs w:val="20"/>
          <w:lang w:eastAsia="fr-FR"/>
        </w:rPr>
        <w:t>Rapport Provisoire</w:t>
      </w:r>
      <w:bookmarkStart w:id="0" w:name="_GoBack"/>
      <w:bookmarkEnd w:id="0"/>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AD3E3E" w:rsidRDefault="00D51017" w:rsidP="00D51017">
      <w:pPr>
        <w:spacing w:after="0"/>
        <w:jc w:val="right"/>
        <w:rPr>
          <w:rFonts w:ascii="Times New Roman" w:eastAsia="Times New Roman" w:hAnsi="Times New Roman" w:cs="Times New Roman"/>
          <w:b/>
          <w:color w:val="000000"/>
          <w:sz w:val="28"/>
          <w:szCs w:val="20"/>
          <w:lang w:eastAsia="fr-FR"/>
        </w:rPr>
        <w:sectPr w:rsidR="00AD3E3E" w:rsidSect="00AD3E3E">
          <w:footerReference w:type="default" r:id="rId9"/>
          <w:pgSz w:w="11906" w:h="16838"/>
          <w:pgMar w:top="1134" w:right="1134" w:bottom="1134" w:left="1134" w:header="709" w:footer="709"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cols w:space="708"/>
          <w:titlePg/>
          <w:docGrid w:linePitch="360"/>
        </w:sectPr>
      </w:pPr>
      <w:r w:rsidRPr="006973B5">
        <w:rPr>
          <w:rFonts w:ascii="Times New Roman" w:eastAsia="Times New Roman" w:hAnsi="Times New Roman" w:cs="Times New Roman"/>
          <w:b/>
          <w:color w:val="000000"/>
          <w:sz w:val="28"/>
          <w:szCs w:val="20"/>
          <w:lang w:eastAsia="fr-FR"/>
        </w:rPr>
        <w:t>Bamako, juin 2018</w:t>
      </w:r>
    </w:p>
    <w:sdt>
      <w:sdtPr>
        <w:rPr>
          <w:rFonts w:asciiTheme="minorHAnsi" w:eastAsiaTheme="minorHAnsi" w:hAnsiTheme="minorHAnsi" w:cstheme="minorBidi"/>
          <w:color w:val="auto"/>
          <w:sz w:val="22"/>
          <w:szCs w:val="22"/>
          <w:lang w:eastAsia="en-US"/>
        </w:rPr>
        <w:id w:val="-2086676470"/>
        <w:docPartObj>
          <w:docPartGallery w:val="Table of Contents"/>
          <w:docPartUnique/>
        </w:docPartObj>
      </w:sdtPr>
      <w:sdtEndPr>
        <w:rPr>
          <w:b/>
          <w:bCs/>
        </w:rPr>
      </w:sdtEndPr>
      <w:sdtContent>
        <w:p w:rsidR="00937EDF" w:rsidRPr="006973B5" w:rsidRDefault="00937EDF">
          <w:pPr>
            <w:pStyle w:val="En-ttedetabledesmatires"/>
            <w:rPr>
              <w:rFonts w:ascii="Times New Roman" w:hAnsi="Times New Roman" w:cs="Times New Roman"/>
              <w:b/>
              <w:color w:val="auto"/>
            </w:rPr>
          </w:pPr>
          <w:r w:rsidRPr="006973B5">
            <w:rPr>
              <w:rFonts w:ascii="Times New Roman" w:hAnsi="Times New Roman" w:cs="Times New Roman"/>
              <w:b/>
              <w:color w:val="auto"/>
            </w:rPr>
            <w:t>Table des matières</w:t>
          </w:r>
        </w:p>
        <w:p w:rsidR="009479F4" w:rsidRDefault="00937EDF">
          <w:pPr>
            <w:pStyle w:val="TM1"/>
            <w:tabs>
              <w:tab w:val="right" w:leader="dot" w:pos="9628"/>
            </w:tabs>
            <w:rPr>
              <w:rFonts w:eastAsiaTheme="minorEastAsia"/>
              <w:noProof/>
              <w:lang w:eastAsia="fr-FR"/>
            </w:rPr>
          </w:pPr>
          <w:r w:rsidRPr="006973B5">
            <w:fldChar w:fldCharType="begin"/>
          </w:r>
          <w:r w:rsidRPr="006973B5">
            <w:instrText xml:space="preserve"> TOC \o "1-3" \h \z \u </w:instrText>
          </w:r>
          <w:r w:rsidRPr="006973B5">
            <w:fldChar w:fldCharType="separate"/>
          </w:r>
          <w:hyperlink w:anchor="_Toc516676402" w:history="1">
            <w:r w:rsidR="009479F4" w:rsidRPr="007C61FF">
              <w:rPr>
                <w:rStyle w:val="Lienhypertexte"/>
                <w:rFonts w:ascii="Times New Roman" w:eastAsia="Times New Roman" w:hAnsi="Times New Roman" w:cs="Times New Roman"/>
                <w:b/>
                <w:noProof/>
                <w:lang w:eastAsia="fr-FR"/>
              </w:rPr>
              <w:t>Liste des tableaux</w:t>
            </w:r>
            <w:r w:rsidR="009479F4">
              <w:rPr>
                <w:noProof/>
                <w:webHidden/>
              </w:rPr>
              <w:tab/>
            </w:r>
            <w:r w:rsidR="009479F4">
              <w:rPr>
                <w:noProof/>
                <w:webHidden/>
              </w:rPr>
              <w:fldChar w:fldCharType="begin"/>
            </w:r>
            <w:r w:rsidR="009479F4">
              <w:rPr>
                <w:noProof/>
                <w:webHidden/>
              </w:rPr>
              <w:instrText xml:space="preserve"> PAGEREF _Toc516676402 \h </w:instrText>
            </w:r>
            <w:r w:rsidR="009479F4">
              <w:rPr>
                <w:noProof/>
                <w:webHidden/>
              </w:rPr>
            </w:r>
            <w:r w:rsidR="009479F4">
              <w:rPr>
                <w:noProof/>
                <w:webHidden/>
              </w:rPr>
              <w:fldChar w:fldCharType="separate"/>
            </w:r>
            <w:r w:rsidR="00BE4141">
              <w:rPr>
                <w:noProof/>
                <w:webHidden/>
              </w:rPr>
              <w:t>ii</w:t>
            </w:r>
            <w:r w:rsidR="009479F4">
              <w:rPr>
                <w:noProof/>
                <w:webHidden/>
              </w:rPr>
              <w:fldChar w:fldCharType="end"/>
            </w:r>
          </w:hyperlink>
        </w:p>
        <w:p w:rsidR="009479F4" w:rsidRDefault="004A556B">
          <w:pPr>
            <w:pStyle w:val="TM1"/>
            <w:tabs>
              <w:tab w:val="right" w:leader="dot" w:pos="9628"/>
            </w:tabs>
            <w:rPr>
              <w:rFonts w:eastAsiaTheme="minorEastAsia"/>
              <w:noProof/>
              <w:lang w:eastAsia="fr-FR"/>
            </w:rPr>
          </w:pPr>
          <w:hyperlink w:anchor="_Toc516676403" w:history="1">
            <w:r w:rsidR="009479F4" w:rsidRPr="007C61FF">
              <w:rPr>
                <w:rStyle w:val="Lienhypertexte"/>
                <w:rFonts w:ascii="Times New Roman" w:eastAsia="Times New Roman" w:hAnsi="Times New Roman" w:cs="Times New Roman"/>
                <w:b/>
                <w:noProof/>
                <w:lang w:eastAsia="fr-FR"/>
              </w:rPr>
              <w:t>Liste des figures</w:t>
            </w:r>
            <w:r w:rsidR="009479F4">
              <w:rPr>
                <w:noProof/>
                <w:webHidden/>
              </w:rPr>
              <w:tab/>
            </w:r>
            <w:r w:rsidR="009479F4">
              <w:rPr>
                <w:noProof/>
                <w:webHidden/>
              </w:rPr>
              <w:fldChar w:fldCharType="begin"/>
            </w:r>
            <w:r w:rsidR="009479F4">
              <w:rPr>
                <w:noProof/>
                <w:webHidden/>
              </w:rPr>
              <w:instrText xml:space="preserve"> PAGEREF _Toc516676403 \h </w:instrText>
            </w:r>
            <w:r w:rsidR="009479F4">
              <w:rPr>
                <w:noProof/>
                <w:webHidden/>
              </w:rPr>
            </w:r>
            <w:r w:rsidR="009479F4">
              <w:rPr>
                <w:noProof/>
                <w:webHidden/>
              </w:rPr>
              <w:fldChar w:fldCharType="separate"/>
            </w:r>
            <w:r w:rsidR="00BE4141">
              <w:rPr>
                <w:noProof/>
                <w:webHidden/>
              </w:rPr>
              <w:t>ii</w:t>
            </w:r>
            <w:r w:rsidR="009479F4">
              <w:rPr>
                <w:noProof/>
                <w:webHidden/>
              </w:rPr>
              <w:fldChar w:fldCharType="end"/>
            </w:r>
          </w:hyperlink>
        </w:p>
        <w:p w:rsidR="009479F4" w:rsidRDefault="004A556B">
          <w:pPr>
            <w:pStyle w:val="TM1"/>
            <w:tabs>
              <w:tab w:val="right" w:leader="dot" w:pos="9628"/>
            </w:tabs>
            <w:rPr>
              <w:rFonts w:eastAsiaTheme="minorEastAsia"/>
              <w:noProof/>
              <w:lang w:eastAsia="fr-FR"/>
            </w:rPr>
          </w:pPr>
          <w:hyperlink w:anchor="_Toc516676404" w:history="1">
            <w:r w:rsidR="009479F4" w:rsidRPr="007C61FF">
              <w:rPr>
                <w:rStyle w:val="Lienhypertexte"/>
                <w:rFonts w:ascii="Times New Roman" w:eastAsia="Times New Roman" w:hAnsi="Times New Roman" w:cs="Times New Roman"/>
                <w:b/>
                <w:noProof/>
                <w:lang w:eastAsia="fr-FR"/>
              </w:rPr>
              <w:t>Sigles et abréviations</w:t>
            </w:r>
            <w:r w:rsidR="009479F4">
              <w:rPr>
                <w:noProof/>
                <w:webHidden/>
              </w:rPr>
              <w:tab/>
            </w:r>
            <w:r w:rsidR="009479F4">
              <w:rPr>
                <w:noProof/>
                <w:webHidden/>
              </w:rPr>
              <w:fldChar w:fldCharType="begin"/>
            </w:r>
            <w:r w:rsidR="009479F4">
              <w:rPr>
                <w:noProof/>
                <w:webHidden/>
              </w:rPr>
              <w:instrText xml:space="preserve"> PAGEREF _Toc516676404 \h </w:instrText>
            </w:r>
            <w:r w:rsidR="009479F4">
              <w:rPr>
                <w:noProof/>
                <w:webHidden/>
              </w:rPr>
            </w:r>
            <w:r w:rsidR="009479F4">
              <w:rPr>
                <w:noProof/>
                <w:webHidden/>
              </w:rPr>
              <w:fldChar w:fldCharType="separate"/>
            </w:r>
            <w:r w:rsidR="00BE4141">
              <w:rPr>
                <w:noProof/>
                <w:webHidden/>
              </w:rPr>
              <w:t>iii</w:t>
            </w:r>
            <w:r w:rsidR="009479F4">
              <w:rPr>
                <w:noProof/>
                <w:webHidden/>
              </w:rPr>
              <w:fldChar w:fldCharType="end"/>
            </w:r>
          </w:hyperlink>
        </w:p>
        <w:p w:rsidR="009479F4" w:rsidRDefault="004A556B">
          <w:pPr>
            <w:pStyle w:val="TM1"/>
            <w:tabs>
              <w:tab w:val="right" w:leader="dot" w:pos="9628"/>
            </w:tabs>
            <w:rPr>
              <w:rFonts w:eastAsiaTheme="minorEastAsia"/>
              <w:noProof/>
              <w:lang w:eastAsia="fr-FR"/>
            </w:rPr>
          </w:pPr>
          <w:hyperlink w:anchor="_Toc516676405" w:history="1">
            <w:r w:rsidR="009479F4" w:rsidRPr="007C61FF">
              <w:rPr>
                <w:rStyle w:val="Lienhypertexte"/>
                <w:rFonts w:ascii="Times New Roman" w:eastAsia="Times New Roman" w:hAnsi="Times New Roman" w:cs="Times New Roman"/>
                <w:b/>
                <w:noProof/>
                <w:lang w:eastAsia="fr-FR"/>
              </w:rPr>
              <w:t>Introduction</w:t>
            </w:r>
            <w:r w:rsidR="009479F4">
              <w:rPr>
                <w:noProof/>
                <w:webHidden/>
              </w:rPr>
              <w:tab/>
            </w:r>
            <w:r w:rsidR="009479F4">
              <w:rPr>
                <w:noProof/>
                <w:webHidden/>
              </w:rPr>
              <w:fldChar w:fldCharType="begin"/>
            </w:r>
            <w:r w:rsidR="009479F4">
              <w:rPr>
                <w:noProof/>
                <w:webHidden/>
              </w:rPr>
              <w:instrText xml:space="preserve"> PAGEREF _Toc516676405 \h </w:instrText>
            </w:r>
            <w:r w:rsidR="009479F4">
              <w:rPr>
                <w:noProof/>
                <w:webHidden/>
              </w:rPr>
            </w:r>
            <w:r w:rsidR="009479F4">
              <w:rPr>
                <w:noProof/>
                <w:webHidden/>
              </w:rPr>
              <w:fldChar w:fldCharType="separate"/>
            </w:r>
            <w:r w:rsidR="00BE4141">
              <w:rPr>
                <w:noProof/>
                <w:webHidden/>
              </w:rPr>
              <w:t>1</w:t>
            </w:r>
            <w:r w:rsidR="009479F4">
              <w:rPr>
                <w:noProof/>
                <w:webHidden/>
              </w:rPr>
              <w:fldChar w:fldCharType="end"/>
            </w:r>
          </w:hyperlink>
        </w:p>
        <w:p w:rsidR="009479F4" w:rsidRPr="009479F4" w:rsidRDefault="004A556B">
          <w:pPr>
            <w:pStyle w:val="TM2"/>
            <w:tabs>
              <w:tab w:val="left" w:pos="660"/>
              <w:tab w:val="right" w:leader="dot" w:pos="9628"/>
            </w:tabs>
            <w:rPr>
              <w:rFonts w:eastAsiaTheme="minorEastAsia"/>
              <w:noProof/>
              <w:lang w:eastAsia="fr-FR"/>
            </w:rPr>
          </w:pPr>
          <w:hyperlink w:anchor="_Toc516676406" w:history="1">
            <w:r w:rsidR="009479F4" w:rsidRPr="009479F4">
              <w:rPr>
                <w:rStyle w:val="Lienhypertexte"/>
                <w:rFonts w:ascii="Times New Roman" w:eastAsia="Calibri" w:hAnsi="Times New Roman" w:cs="Times New Roman"/>
                <w:noProof/>
              </w:rPr>
              <w:t>-</w:t>
            </w:r>
            <w:r w:rsidR="009479F4" w:rsidRPr="009479F4">
              <w:rPr>
                <w:rFonts w:eastAsiaTheme="minorEastAsia"/>
                <w:noProof/>
                <w:lang w:eastAsia="fr-FR"/>
              </w:rPr>
              <w:tab/>
            </w:r>
            <w:r w:rsidR="009479F4" w:rsidRPr="009479F4">
              <w:rPr>
                <w:rStyle w:val="Lienhypertexte"/>
                <w:rFonts w:ascii="Times New Roman" w:eastAsia="Calibri" w:hAnsi="Times New Roman" w:cs="Times New Roman"/>
                <w:noProof/>
              </w:rPr>
              <w:t>Contexte et justification</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_Toc516676406 \h </w:instrText>
            </w:r>
            <w:r w:rsidR="009479F4" w:rsidRPr="009479F4">
              <w:rPr>
                <w:noProof/>
                <w:webHidden/>
              </w:rPr>
            </w:r>
            <w:r w:rsidR="009479F4" w:rsidRPr="009479F4">
              <w:rPr>
                <w:noProof/>
                <w:webHidden/>
              </w:rPr>
              <w:fldChar w:fldCharType="separate"/>
            </w:r>
            <w:r w:rsidR="00BE4141">
              <w:rPr>
                <w:noProof/>
                <w:webHidden/>
              </w:rPr>
              <w:t>1</w:t>
            </w:r>
            <w:r w:rsidR="009479F4" w:rsidRPr="009479F4">
              <w:rPr>
                <w:noProof/>
                <w:webHidden/>
              </w:rPr>
              <w:fldChar w:fldCharType="end"/>
            </w:r>
          </w:hyperlink>
        </w:p>
        <w:p w:rsidR="009479F4" w:rsidRPr="009479F4" w:rsidRDefault="004A556B">
          <w:pPr>
            <w:pStyle w:val="TM2"/>
            <w:tabs>
              <w:tab w:val="left" w:pos="660"/>
              <w:tab w:val="right" w:leader="dot" w:pos="9628"/>
            </w:tabs>
            <w:rPr>
              <w:rFonts w:eastAsiaTheme="minorEastAsia"/>
              <w:noProof/>
              <w:lang w:eastAsia="fr-FR"/>
            </w:rPr>
          </w:pPr>
          <w:hyperlink w:anchor="_Toc516676407" w:history="1">
            <w:r w:rsidR="009479F4" w:rsidRPr="009479F4">
              <w:rPr>
                <w:rStyle w:val="Lienhypertexte"/>
                <w:rFonts w:ascii="Times New Roman" w:eastAsia="Calibri" w:hAnsi="Times New Roman" w:cs="Times New Roman"/>
                <w:noProof/>
              </w:rPr>
              <w:t>-</w:t>
            </w:r>
            <w:r w:rsidR="009479F4" w:rsidRPr="009479F4">
              <w:rPr>
                <w:rFonts w:eastAsiaTheme="minorEastAsia"/>
                <w:noProof/>
                <w:lang w:eastAsia="fr-FR"/>
              </w:rPr>
              <w:tab/>
            </w:r>
            <w:r w:rsidR="009479F4" w:rsidRPr="009479F4">
              <w:rPr>
                <w:rStyle w:val="Lienhypertexte"/>
                <w:rFonts w:ascii="Times New Roman" w:eastAsia="Calibri" w:hAnsi="Times New Roman" w:cs="Times New Roman"/>
                <w:noProof/>
              </w:rPr>
              <w:t>Objectifs de l’étude</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_Toc516676407 \h </w:instrText>
            </w:r>
            <w:r w:rsidR="009479F4" w:rsidRPr="009479F4">
              <w:rPr>
                <w:noProof/>
                <w:webHidden/>
              </w:rPr>
            </w:r>
            <w:r w:rsidR="009479F4" w:rsidRPr="009479F4">
              <w:rPr>
                <w:noProof/>
                <w:webHidden/>
              </w:rPr>
              <w:fldChar w:fldCharType="separate"/>
            </w:r>
            <w:r w:rsidR="00BE4141">
              <w:rPr>
                <w:noProof/>
                <w:webHidden/>
              </w:rPr>
              <w:t>1</w:t>
            </w:r>
            <w:r w:rsidR="009479F4" w:rsidRPr="009479F4">
              <w:rPr>
                <w:noProof/>
                <w:webHidden/>
              </w:rPr>
              <w:fldChar w:fldCharType="end"/>
            </w:r>
          </w:hyperlink>
        </w:p>
        <w:p w:rsidR="009479F4" w:rsidRPr="009479F4" w:rsidRDefault="004A556B">
          <w:pPr>
            <w:pStyle w:val="TM2"/>
            <w:tabs>
              <w:tab w:val="left" w:pos="660"/>
              <w:tab w:val="right" w:leader="dot" w:pos="9628"/>
            </w:tabs>
            <w:rPr>
              <w:rFonts w:eastAsiaTheme="minorEastAsia"/>
              <w:noProof/>
              <w:lang w:eastAsia="fr-FR"/>
            </w:rPr>
          </w:pPr>
          <w:hyperlink w:anchor="_Toc516676408" w:history="1">
            <w:r w:rsidR="009479F4" w:rsidRPr="009479F4">
              <w:rPr>
                <w:rStyle w:val="Lienhypertexte"/>
                <w:rFonts w:ascii="Times New Roman" w:eastAsia="Calibri" w:hAnsi="Times New Roman" w:cs="Times New Roman"/>
                <w:noProof/>
              </w:rPr>
              <w:t>-</w:t>
            </w:r>
            <w:r w:rsidR="009479F4" w:rsidRPr="009479F4">
              <w:rPr>
                <w:rFonts w:eastAsiaTheme="minorEastAsia"/>
                <w:noProof/>
                <w:lang w:eastAsia="fr-FR"/>
              </w:rPr>
              <w:tab/>
            </w:r>
            <w:r w:rsidR="009479F4" w:rsidRPr="009479F4">
              <w:rPr>
                <w:rStyle w:val="Lienhypertexte"/>
                <w:rFonts w:ascii="Times New Roman" w:eastAsia="Calibri" w:hAnsi="Times New Roman" w:cs="Times New Roman"/>
                <w:noProof/>
              </w:rPr>
              <w:t>Champs de l’étude et méthodologie</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_Toc516676408 \h </w:instrText>
            </w:r>
            <w:r w:rsidR="009479F4" w:rsidRPr="009479F4">
              <w:rPr>
                <w:noProof/>
                <w:webHidden/>
              </w:rPr>
            </w:r>
            <w:r w:rsidR="009479F4" w:rsidRPr="009479F4">
              <w:rPr>
                <w:noProof/>
                <w:webHidden/>
              </w:rPr>
              <w:fldChar w:fldCharType="separate"/>
            </w:r>
            <w:r w:rsidR="00BE4141">
              <w:rPr>
                <w:noProof/>
                <w:webHidden/>
              </w:rPr>
              <w:t>2</w:t>
            </w:r>
            <w:r w:rsidR="009479F4" w:rsidRPr="009479F4">
              <w:rPr>
                <w:noProof/>
                <w:webHidden/>
              </w:rPr>
              <w:fldChar w:fldCharType="end"/>
            </w:r>
          </w:hyperlink>
        </w:p>
        <w:p w:rsidR="009479F4" w:rsidRDefault="004A556B">
          <w:pPr>
            <w:pStyle w:val="TM1"/>
            <w:tabs>
              <w:tab w:val="right" w:leader="dot" w:pos="9628"/>
            </w:tabs>
            <w:rPr>
              <w:rFonts w:eastAsiaTheme="minorEastAsia"/>
              <w:noProof/>
              <w:lang w:eastAsia="fr-FR"/>
            </w:rPr>
          </w:pPr>
          <w:hyperlink w:anchor="_Toc516676409" w:history="1">
            <w:r w:rsidR="009479F4" w:rsidRPr="007C61FF">
              <w:rPr>
                <w:rStyle w:val="Lienhypertexte"/>
                <w:rFonts w:ascii="Times New Roman" w:eastAsia="Times New Roman" w:hAnsi="Times New Roman" w:cs="Times New Roman"/>
                <w:b/>
                <w:noProof/>
                <w:lang w:eastAsia="fr-FR"/>
              </w:rPr>
              <w:t>1.   Evolution et caractéristiques des jeunes sur le marché du travail</w:t>
            </w:r>
            <w:r w:rsidR="009479F4">
              <w:rPr>
                <w:noProof/>
                <w:webHidden/>
              </w:rPr>
              <w:tab/>
            </w:r>
            <w:r w:rsidR="009479F4">
              <w:rPr>
                <w:noProof/>
                <w:webHidden/>
              </w:rPr>
              <w:fldChar w:fldCharType="begin"/>
            </w:r>
            <w:r w:rsidR="009479F4">
              <w:rPr>
                <w:noProof/>
                <w:webHidden/>
              </w:rPr>
              <w:instrText xml:space="preserve"> PAGEREF _Toc516676409 \h </w:instrText>
            </w:r>
            <w:r w:rsidR="009479F4">
              <w:rPr>
                <w:noProof/>
                <w:webHidden/>
              </w:rPr>
            </w:r>
            <w:r w:rsidR="009479F4">
              <w:rPr>
                <w:noProof/>
                <w:webHidden/>
              </w:rPr>
              <w:fldChar w:fldCharType="separate"/>
            </w:r>
            <w:r w:rsidR="00BE4141">
              <w:rPr>
                <w:noProof/>
                <w:webHidden/>
              </w:rPr>
              <w:t>5</w:t>
            </w:r>
            <w:r w:rsidR="009479F4">
              <w:rPr>
                <w:noProof/>
                <w:webHidden/>
              </w:rPr>
              <w:fldChar w:fldCharType="end"/>
            </w:r>
          </w:hyperlink>
        </w:p>
        <w:p w:rsidR="009479F4" w:rsidRPr="009479F4" w:rsidRDefault="004A556B">
          <w:pPr>
            <w:pStyle w:val="TM2"/>
            <w:tabs>
              <w:tab w:val="left" w:pos="880"/>
              <w:tab w:val="right" w:leader="dot" w:pos="9628"/>
            </w:tabs>
            <w:rPr>
              <w:rFonts w:eastAsiaTheme="minorEastAsia"/>
              <w:noProof/>
              <w:lang w:eastAsia="fr-FR"/>
            </w:rPr>
          </w:pPr>
          <w:hyperlink w:anchor="_Toc516676410" w:history="1">
            <w:r w:rsidR="009479F4" w:rsidRPr="009479F4">
              <w:rPr>
                <w:rStyle w:val="Lienhypertexte"/>
                <w:rFonts w:ascii="Times New Roman" w:hAnsi="Times New Roman" w:cs="Times New Roman"/>
                <w:noProof/>
              </w:rPr>
              <w:t>1.1.</w:t>
            </w:r>
            <w:r w:rsidR="009479F4" w:rsidRPr="009479F4">
              <w:rPr>
                <w:rFonts w:eastAsiaTheme="minorEastAsia"/>
                <w:noProof/>
                <w:lang w:eastAsia="fr-FR"/>
              </w:rPr>
              <w:tab/>
            </w:r>
            <w:r w:rsidR="009479F4" w:rsidRPr="009479F4">
              <w:rPr>
                <w:rStyle w:val="Lienhypertexte"/>
                <w:rFonts w:ascii="Times New Roman" w:hAnsi="Times New Roman" w:cs="Times New Roman"/>
                <w:noProof/>
              </w:rPr>
              <w:t>Evolution globale</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_Toc516676410 \h </w:instrText>
            </w:r>
            <w:r w:rsidR="009479F4" w:rsidRPr="009479F4">
              <w:rPr>
                <w:noProof/>
                <w:webHidden/>
              </w:rPr>
            </w:r>
            <w:r w:rsidR="009479F4" w:rsidRPr="009479F4">
              <w:rPr>
                <w:noProof/>
                <w:webHidden/>
              </w:rPr>
              <w:fldChar w:fldCharType="separate"/>
            </w:r>
            <w:r w:rsidR="00BE4141">
              <w:rPr>
                <w:noProof/>
                <w:webHidden/>
              </w:rPr>
              <w:t>5</w:t>
            </w:r>
            <w:r w:rsidR="009479F4" w:rsidRPr="009479F4">
              <w:rPr>
                <w:noProof/>
                <w:webHidden/>
              </w:rPr>
              <w:fldChar w:fldCharType="end"/>
            </w:r>
          </w:hyperlink>
        </w:p>
        <w:p w:rsidR="009479F4" w:rsidRPr="009479F4" w:rsidRDefault="004A556B">
          <w:pPr>
            <w:pStyle w:val="TM2"/>
            <w:tabs>
              <w:tab w:val="left" w:pos="880"/>
              <w:tab w:val="right" w:leader="dot" w:pos="9628"/>
            </w:tabs>
            <w:rPr>
              <w:rFonts w:eastAsiaTheme="minorEastAsia"/>
              <w:noProof/>
              <w:lang w:eastAsia="fr-FR"/>
            </w:rPr>
          </w:pPr>
          <w:hyperlink w:anchor="_Toc516676411" w:history="1">
            <w:r w:rsidR="009479F4" w:rsidRPr="009479F4">
              <w:rPr>
                <w:rStyle w:val="Lienhypertexte"/>
                <w:rFonts w:ascii="Times New Roman" w:hAnsi="Times New Roman" w:cs="Times New Roman"/>
                <w:noProof/>
              </w:rPr>
              <w:t>1.2.</w:t>
            </w:r>
            <w:r w:rsidR="009479F4" w:rsidRPr="009479F4">
              <w:rPr>
                <w:rFonts w:eastAsiaTheme="minorEastAsia"/>
                <w:noProof/>
                <w:lang w:eastAsia="fr-FR"/>
              </w:rPr>
              <w:tab/>
            </w:r>
            <w:r w:rsidR="009479F4" w:rsidRPr="009479F4">
              <w:rPr>
                <w:rStyle w:val="Lienhypertexte"/>
                <w:rFonts w:ascii="Times New Roman" w:hAnsi="Times New Roman" w:cs="Times New Roman"/>
                <w:noProof/>
              </w:rPr>
              <w:t>Evolution selon le sexe</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_Toc516676411 \h </w:instrText>
            </w:r>
            <w:r w:rsidR="009479F4" w:rsidRPr="009479F4">
              <w:rPr>
                <w:noProof/>
                <w:webHidden/>
              </w:rPr>
            </w:r>
            <w:r w:rsidR="009479F4" w:rsidRPr="009479F4">
              <w:rPr>
                <w:noProof/>
                <w:webHidden/>
              </w:rPr>
              <w:fldChar w:fldCharType="separate"/>
            </w:r>
            <w:r w:rsidR="00BE4141">
              <w:rPr>
                <w:noProof/>
                <w:webHidden/>
              </w:rPr>
              <w:t>6</w:t>
            </w:r>
            <w:r w:rsidR="009479F4" w:rsidRPr="009479F4">
              <w:rPr>
                <w:noProof/>
                <w:webHidden/>
              </w:rPr>
              <w:fldChar w:fldCharType="end"/>
            </w:r>
          </w:hyperlink>
        </w:p>
        <w:p w:rsidR="009479F4" w:rsidRPr="009479F4" w:rsidRDefault="004A556B">
          <w:pPr>
            <w:pStyle w:val="TM2"/>
            <w:tabs>
              <w:tab w:val="left" w:pos="880"/>
              <w:tab w:val="right" w:leader="dot" w:pos="9628"/>
            </w:tabs>
            <w:rPr>
              <w:rFonts w:eastAsiaTheme="minorEastAsia"/>
              <w:noProof/>
              <w:lang w:eastAsia="fr-FR"/>
            </w:rPr>
          </w:pPr>
          <w:hyperlink w:anchor="_Toc516676412" w:history="1">
            <w:r w:rsidR="009479F4" w:rsidRPr="009479F4">
              <w:rPr>
                <w:rStyle w:val="Lienhypertexte"/>
                <w:rFonts w:ascii="Times New Roman" w:hAnsi="Times New Roman" w:cs="Times New Roman"/>
                <w:noProof/>
              </w:rPr>
              <w:t>1.3.</w:t>
            </w:r>
            <w:r w:rsidR="009479F4" w:rsidRPr="009479F4">
              <w:rPr>
                <w:rFonts w:eastAsiaTheme="minorEastAsia"/>
                <w:noProof/>
                <w:lang w:eastAsia="fr-FR"/>
              </w:rPr>
              <w:tab/>
            </w:r>
            <w:r w:rsidR="009479F4" w:rsidRPr="009479F4">
              <w:rPr>
                <w:rStyle w:val="Lienhypertexte"/>
                <w:rFonts w:ascii="Times New Roman" w:hAnsi="Times New Roman" w:cs="Times New Roman"/>
                <w:noProof/>
              </w:rPr>
              <w:t>Evolution selon la zone de résidence</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_Toc516676412 \h </w:instrText>
            </w:r>
            <w:r w:rsidR="009479F4" w:rsidRPr="009479F4">
              <w:rPr>
                <w:noProof/>
                <w:webHidden/>
              </w:rPr>
            </w:r>
            <w:r w:rsidR="009479F4" w:rsidRPr="009479F4">
              <w:rPr>
                <w:noProof/>
                <w:webHidden/>
              </w:rPr>
              <w:fldChar w:fldCharType="separate"/>
            </w:r>
            <w:r w:rsidR="00BE4141">
              <w:rPr>
                <w:noProof/>
                <w:webHidden/>
              </w:rPr>
              <w:t>7</w:t>
            </w:r>
            <w:r w:rsidR="009479F4" w:rsidRPr="009479F4">
              <w:rPr>
                <w:noProof/>
                <w:webHidden/>
              </w:rPr>
              <w:fldChar w:fldCharType="end"/>
            </w:r>
          </w:hyperlink>
        </w:p>
        <w:p w:rsidR="009479F4" w:rsidRPr="009479F4" w:rsidRDefault="004A556B">
          <w:pPr>
            <w:pStyle w:val="TM2"/>
            <w:tabs>
              <w:tab w:val="left" w:pos="880"/>
              <w:tab w:val="right" w:leader="dot" w:pos="9628"/>
            </w:tabs>
            <w:rPr>
              <w:rFonts w:eastAsiaTheme="minorEastAsia"/>
              <w:noProof/>
              <w:lang w:eastAsia="fr-FR"/>
            </w:rPr>
          </w:pPr>
          <w:hyperlink w:anchor="_Toc516676413" w:history="1">
            <w:r w:rsidR="009479F4" w:rsidRPr="009479F4">
              <w:rPr>
                <w:rStyle w:val="Lienhypertexte"/>
                <w:rFonts w:ascii="Times New Roman" w:hAnsi="Times New Roman" w:cs="Times New Roman"/>
                <w:noProof/>
              </w:rPr>
              <w:t>1.4.</w:t>
            </w:r>
            <w:r w:rsidR="009479F4" w:rsidRPr="009479F4">
              <w:rPr>
                <w:rFonts w:eastAsiaTheme="minorEastAsia"/>
                <w:noProof/>
                <w:lang w:eastAsia="fr-FR"/>
              </w:rPr>
              <w:tab/>
            </w:r>
            <w:r w:rsidR="009479F4" w:rsidRPr="009479F4">
              <w:rPr>
                <w:rStyle w:val="Lienhypertexte"/>
                <w:rFonts w:ascii="Times New Roman" w:hAnsi="Times New Roman" w:cs="Times New Roman"/>
                <w:noProof/>
              </w:rPr>
              <w:t>Evolution selon la région</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_Toc516676413 \h </w:instrText>
            </w:r>
            <w:r w:rsidR="009479F4" w:rsidRPr="009479F4">
              <w:rPr>
                <w:noProof/>
                <w:webHidden/>
              </w:rPr>
            </w:r>
            <w:r w:rsidR="009479F4" w:rsidRPr="009479F4">
              <w:rPr>
                <w:noProof/>
                <w:webHidden/>
              </w:rPr>
              <w:fldChar w:fldCharType="separate"/>
            </w:r>
            <w:r w:rsidR="00BE4141">
              <w:rPr>
                <w:noProof/>
                <w:webHidden/>
              </w:rPr>
              <w:t>8</w:t>
            </w:r>
            <w:r w:rsidR="009479F4" w:rsidRPr="009479F4">
              <w:rPr>
                <w:noProof/>
                <w:webHidden/>
              </w:rPr>
              <w:fldChar w:fldCharType="end"/>
            </w:r>
          </w:hyperlink>
        </w:p>
        <w:p w:rsidR="009479F4" w:rsidRPr="009479F4" w:rsidRDefault="004A556B">
          <w:pPr>
            <w:pStyle w:val="TM2"/>
            <w:tabs>
              <w:tab w:val="left" w:pos="880"/>
              <w:tab w:val="right" w:leader="dot" w:pos="9628"/>
            </w:tabs>
            <w:rPr>
              <w:rFonts w:eastAsiaTheme="minorEastAsia"/>
              <w:noProof/>
              <w:lang w:eastAsia="fr-FR"/>
            </w:rPr>
          </w:pPr>
          <w:hyperlink w:anchor="_Toc516676414" w:history="1">
            <w:r w:rsidR="009479F4" w:rsidRPr="009479F4">
              <w:rPr>
                <w:rStyle w:val="Lienhypertexte"/>
                <w:rFonts w:ascii="Times New Roman" w:hAnsi="Times New Roman" w:cs="Times New Roman"/>
                <w:noProof/>
              </w:rPr>
              <w:t>1.5.</w:t>
            </w:r>
            <w:r w:rsidR="009479F4" w:rsidRPr="009479F4">
              <w:rPr>
                <w:rFonts w:eastAsiaTheme="minorEastAsia"/>
                <w:noProof/>
                <w:lang w:eastAsia="fr-FR"/>
              </w:rPr>
              <w:tab/>
            </w:r>
            <w:r w:rsidR="009479F4" w:rsidRPr="009479F4">
              <w:rPr>
                <w:rStyle w:val="Lienhypertexte"/>
                <w:rFonts w:ascii="Times New Roman" w:hAnsi="Times New Roman" w:cs="Times New Roman"/>
                <w:noProof/>
              </w:rPr>
              <w:t>Evolution selon le niveau d’éducation et statut de pauvreté</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_Toc516676414 \h </w:instrText>
            </w:r>
            <w:r w:rsidR="009479F4" w:rsidRPr="009479F4">
              <w:rPr>
                <w:noProof/>
                <w:webHidden/>
              </w:rPr>
            </w:r>
            <w:r w:rsidR="009479F4" w:rsidRPr="009479F4">
              <w:rPr>
                <w:noProof/>
                <w:webHidden/>
              </w:rPr>
              <w:fldChar w:fldCharType="separate"/>
            </w:r>
            <w:r w:rsidR="00BE4141">
              <w:rPr>
                <w:noProof/>
                <w:webHidden/>
              </w:rPr>
              <w:t>9</w:t>
            </w:r>
            <w:r w:rsidR="009479F4" w:rsidRPr="009479F4">
              <w:rPr>
                <w:noProof/>
                <w:webHidden/>
              </w:rPr>
              <w:fldChar w:fldCharType="end"/>
            </w:r>
          </w:hyperlink>
        </w:p>
        <w:p w:rsidR="009479F4" w:rsidRDefault="004A556B">
          <w:pPr>
            <w:pStyle w:val="TM1"/>
            <w:tabs>
              <w:tab w:val="left" w:pos="440"/>
              <w:tab w:val="right" w:leader="dot" w:pos="9628"/>
            </w:tabs>
            <w:rPr>
              <w:rFonts w:eastAsiaTheme="minorEastAsia"/>
              <w:noProof/>
              <w:lang w:eastAsia="fr-FR"/>
            </w:rPr>
          </w:pPr>
          <w:hyperlink w:anchor="_Toc516676415" w:history="1">
            <w:r w:rsidR="009479F4" w:rsidRPr="007C61FF">
              <w:rPr>
                <w:rStyle w:val="Lienhypertexte"/>
                <w:rFonts w:ascii="Times New Roman" w:eastAsia="Times New Roman" w:hAnsi="Times New Roman" w:cs="Times New Roman"/>
                <w:b/>
                <w:noProof/>
                <w:lang w:eastAsia="fr-FR"/>
              </w:rPr>
              <w:t>2.</w:t>
            </w:r>
            <w:r w:rsidR="009479F4">
              <w:rPr>
                <w:rFonts w:eastAsiaTheme="minorEastAsia"/>
                <w:noProof/>
                <w:lang w:eastAsia="fr-FR"/>
              </w:rPr>
              <w:tab/>
            </w:r>
            <w:r w:rsidR="009479F4" w:rsidRPr="007C61FF">
              <w:rPr>
                <w:rStyle w:val="Lienhypertexte"/>
                <w:rFonts w:ascii="Times New Roman" w:eastAsia="Times New Roman" w:hAnsi="Times New Roman" w:cs="Times New Roman"/>
                <w:b/>
                <w:noProof/>
                <w:lang w:eastAsia="fr-FR"/>
              </w:rPr>
              <w:t>Profil de l'emploi des jeunes</w:t>
            </w:r>
            <w:r w:rsidR="009479F4">
              <w:rPr>
                <w:noProof/>
                <w:webHidden/>
              </w:rPr>
              <w:tab/>
            </w:r>
            <w:r w:rsidR="009479F4">
              <w:rPr>
                <w:noProof/>
                <w:webHidden/>
              </w:rPr>
              <w:fldChar w:fldCharType="begin"/>
            </w:r>
            <w:r w:rsidR="009479F4">
              <w:rPr>
                <w:noProof/>
                <w:webHidden/>
              </w:rPr>
              <w:instrText xml:space="preserve"> PAGEREF _Toc516676415 \h </w:instrText>
            </w:r>
            <w:r w:rsidR="009479F4">
              <w:rPr>
                <w:noProof/>
                <w:webHidden/>
              </w:rPr>
            </w:r>
            <w:r w:rsidR="009479F4">
              <w:rPr>
                <w:noProof/>
                <w:webHidden/>
              </w:rPr>
              <w:fldChar w:fldCharType="separate"/>
            </w:r>
            <w:r w:rsidR="00BE4141">
              <w:rPr>
                <w:noProof/>
                <w:webHidden/>
              </w:rPr>
              <w:t>11</w:t>
            </w:r>
            <w:r w:rsidR="009479F4">
              <w:rPr>
                <w:noProof/>
                <w:webHidden/>
              </w:rPr>
              <w:fldChar w:fldCharType="end"/>
            </w:r>
          </w:hyperlink>
        </w:p>
        <w:p w:rsidR="009479F4" w:rsidRPr="009479F4" w:rsidRDefault="004A556B">
          <w:pPr>
            <w:pStyle w:val="TM2"/>
            <w:tabs>
              <w:tab w:val="left" w:pos="880"/>
              <w:tab w:val="right" w:leader="dot" w:pos="9628"/>
            </w:tabs>
            <w:rPr>
              <w:rFonts w:eastAsiaTheme="minorEastAsia"/>
              <w:noProof/>
              <w:lang w:eastAsia="fr-FR"/>
            </w:rPr>
          </w:pPr>
          <w:hyperlink w:anchor="_Toc516676416" w:history="1">
            <w:r w:rsidR="009479F4" w:rsidRPr="009479F4">
              <w:rPr>
                <w:rStyle w:val="Lienhypertexte"/>
                <w:rFonts w:ascii="Times New Roman" w:hAnsi="Times New Roman" w:cs="Times New Roman"/>
                <w:noProof/>
              </w:rPr>
              <w:t>2.1.</w:t>
            </w:r>
            <w:r w:rsidR="009479F4" w:rsidRPr="009479F4">
              <w:rPr>
                <w:rFonts w:eastAsiaTheme="minorEastAsia"/>
                <w:noProof/>
                <w:lang w:eastAsia="fr-FR"/>
              </w:rPr>
              <w:tab/>
            </w:r>
            <w:r w:rsidR="009479F4" w:rsidRPr="009479F4">
              <w:rPr>
                <w:rStyle w:val="Lienhypertexte"/>
                <w:rFonts w:ascii="Times New Roman" w:hAnsi="Times New Roman" w:cs="Times New Roman"/>
                <w:noProof/>
              </w:rPr>
              <w:t>Emploi des jeunes selon le secteur d’activités économiques</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_Toc516676416 \h </w:instrText>
            </w:r>
            <w:r w:rsidR="009479F4" w:rsidRPr="009479F4">
              <w:rPr>
                <w:noProof/>
                <w:webHidden/>
              </w:rPr>
            </w:r>
            <w:r w:rsidR="009479F4" w:rsidRPr="009479F4">
              <w:rPr>
                <w:noProof/>
                <w:webHidden/>
              </w:rPr>
              <w:fldChar w:fldCharType="separate"/>
            </w:r>
            <w:r w:rsidR="00BE4141">
              <w:rPr>
                <w:noProof/>
                <w:webHidden/>
              </w:rPr>
              <w:t>11</w:t>
            </w:r>
            <w:r w:rsidR="009479F4" w:rsidRPr="009479F4">
              <w:rPr>
                <w:noProof/>
                <w:webHidden/>
              </w:rPr>
              <w:fldChar w:fldCharType="end"/>
            </w:r>
          </w:hyperlink>
        </w:p>
        <w:p w:rsidR="009479F4" w:rsidRPr="009479F4" w:rsidRDefault="004A556B">
          <w:pPr>
            <w:pStyle w:val="TM2"/>
            <w:tabs>
              <w:tab w:val="left" w:pos="880"/>
              <w:tab w:val="right" w:leader="dot" w:pos="9628"/>
            </w:tabs>
            <w:rPr>
              <w:rFonts w:eastAsiaTheme="minorEastAsia"/>
              <w:noProof/>
              <w:lang w:eastAsia="fr-FR"/>
            </w:rPr>
          </w:pPr>
          <w:hyperlink w:anchor="_Toc516676417" w:history="1">
            <w:r w:rsidR="009479F4" w:rsidRPr="009479F4">
              <w:rPr>
                <w:rStyle w:val="Lienhypertexte"/>
                <w:rFonts w:ascii="Times New Roman" w:hAnsi="Times New Roman" w:cs="Times New Roman"/>
                <w:noProof/>
              </w:rPr>
              <w:t>2.2.</w:t>
            </w:r>
            <w:r w:rsidR="009479F4" w:rsidRPr="009479F4">
              <w:rPr>
                <w:rFonts w:eastAsiaTheme="minorEastAsia"/>
                <w:noProof/>
                <w:lang w:eastAsia="fr-FR"/>
              </w:rPr>
              <w:tab/>
            </w:r>
            <w:r w:rsidR="009479F4" w:rsidRPr="009479F4">
              <w:rPr>
                <w:rStyle w:val="Lienhypertexte"/>
                <w:rFonts w:ascii="Times New Roman" w:hAnsi="Times New Roman" w:cs="Times New Roman"/>
                <w:noProof/>
              </w:rPr>
              <w:t>Emploi des jeunes selon le secteur institutionnel</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_Toc516676417 \h </w:instrText>
            </w:r>
            <w:r w:rsidR="009479F4" w:rsidRPr="009479F4">
              <w:rPr>
                <w:noProof/>
                <w:webHidden/>
              </w:rPr>
            </w:r>
            <w:r w:rsidR="009479F4" w:rsidRPr="009479F4">
              <w:rPr>
                <w:noProof/>
                <w:webHidden/>
              </w:rPr>
              <w:fldChar w:fldCharType="separate"/>
            </w:r>
            <w:r w:rsidR="00BE4141">
              <w:rPr>
                <w:noProof/>
                <w:webHidden/>
              </w:rPr>
              <w:t>12</w:t>
            </w:r>
            <w:r w:rsidR="009479F4" w:rsidRPr="009479F4">
              <w:rPr>
                <w:noProof/>
                <w:webHidden/>
              </w:rPr>
              <w:fldChar w:fldCharType="end"/>
            </w:r>
          </w:hyperlink>
        </w:p>
        <w:p w:rsidR="009479F4" w:rsidRPr="009479F4" w:rsidRDefault="004A556B">
          <w:pPr>
            <w:pStyle w:val="TM2"/>
            <w:tabs>
              <w:tab w:val="left" w:pos="880"/>
              <w:tab w:val="right" w:leader="dot" w:pos="9628"/>
            </w:tabs>
            <w:rPr>
              <w:rFonts w:eastAsiaTheme="minorEastAsia"/>
              <w:noProof/>
              <w:lang w:eastAsia="fr-FR"/>
            </w:rPr>
          </w:pPr>
          <w:hyperlink w:anchor="_Toc516676418" w:history="1">
            <w:r w:rsidR="009479F4" w:rsidRPr="009479F4">
              <w:rPr>
                <w:rStyle w:val="Lienhypertexte"/>
                <w:rFonts w:ascii="Times New Roman" w:hAnsi="Times New Roman" w:cs="Times New Roman"/>
                <w:noProof/>
              </w:rPr>
              <w:t>2.3.</w:t>
            </w:r>
            <w:r w:rsidR="009479F4" w:rsidRPr="009479F4">
              <w:rPr>
                <w:rFonts w:eastAsiaTheme="minorEastAsia"/>
                <w:noProof/>
                <w:lang w:eastAsia="fr-FR"/>
              </w:rPr>
              <w:tab/>
            </w:r>
            <w:r w:rsidR="009479F4" w:rsidRPr="009479F4">
              <w:rPr>
                <w:rStyle w:val="Lienhypertexte"/>
                <w:rFonts w:ascii="Times New Roman" w:hAnsi="Times New Roman" w:cs="Times New Roman"/>
                <w:noProof/>
              </w:rPr>
              <w:t>Emploi des jeunes selon la nature</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_Toc516676418 \h </w:instrText>
            </w:r>
            <w:r w:rsidR="009479F4" w:rsidRPr="009479F4">
              <w:rPr>
                <w:noProof/>
                <w:webHidden/>
              </w:rPr>
            </w:r>
            <w:r w:rsidR="009479F4" w:rsidRPr="009479F4">
              <w:rPr>
                <w:noProof/>
                <w:webHidden/>
              </w:rPr>
              <w:fldChar w:fldCharType="separate"/>
            </w:r>
            <w:r w:rsidR="00BE4141">
              <w:rPr>
                <w:noProof/>
                <w:webHidden/>
              </w:rPr>
              <w:t>13</w:t>
            </w:r>
            <w:r w:rsidR="009479F4" w:rsidRPr="009479F4">
              <w:rPr>
                <w:noProof/>
                <w:webHidden/>
              </w:rPr>
              <w:fldChar w:fldCharType="end"/>
            </w:r>
          </w:hyperlink>
        </w:p>
        <w:p w:rsidR="009479F4" w:rsidRDefault="004A556B">
          <w:pPr>
            <w:pStyle w:val="TM1"/>
            <w:tabs>
              <w:tab w:val="left" w:pos="440"/>
              <w:tab w:val="right" w:leader="dot" w:pos="9628"/>
            </w:tabs>
            <w:rPr>
              <w:rFonts w:eastAsiaTheme="minorEastAsia"/>
              <w:noProof/>
              <w:lang w:eastAsia="fr-FR"/>
            </w:rPr>
          </w:pPr>
          <w:hyperlink w:anchor="_Toc516676419" w:history="1">
            <w:r w:rsidR="009479F4" w:rsidRPr="007C61FF">
              <w:rPr>
                <w:rStyle w:val="Lienhypertexte"/>
                <w:rFonts w:ascii="Times New Roman" w:eastAsia="Times New Roman" w:hAnsi="Times New Roman" w:cs="Times New Roman"/>
                <w:b/>
                <w:noProof/>
                <w:lang w:eastAsia="fr-FR"/>
              </w:rPr>
              <w:t>3.</w:t>
            </w:r>
            <w:r w:rsidR="009479F4">
              <w:rPr>
                <w:rFonts w:eastAsiaTheme="minorEastAsia"/>
                <w:noProof/>
                <w:lang w:eastAsia="fr-FR"/>
              </w:rPr>
              <w:tab/>
            </w:r>
            <w:r w:rsidR="009479F4" w:rsidRPr="007C61FF">
              <w:rPr>
                <w:rStyle w:val="Lienhypertexte"/>
                <w:rFonts w:ascii="Times New Roman" w:eastAsia="Times New Roman" w:hAnsi="Times New Roman" w:cs="Times New Roman"/>
                <w:b/>
                <w:noProof/>
                <w:lang w:eastAsia="fr-FR"/>
              </w:rPr>
              <w:t>Accès des jeunes au marché du travail</w:t>
            </w:r>
            <w:r w:rsidR="009479F4">
              <w:rPr>
                <w:noProof/>
                <w:webHidden/>
              </w:rPr>
              <w:tab/>
            </w:r>
            <w:r w:rsidR="009479F4">
              <w:rPr>
                <w:noProof/>
                <w:webHidden/>
              </w:rPr>
              <w:fldChar w:fldCharType="begin"/>
            </w:r>
            <w:r w:rsidR="009479F4">
              <w:rPr>
                <w:noProof/>
                <w:webHidden/>
              </w:rPr>
              <w:instrText xml:space="preserve"> PAGEREF _Toc516676419 \h </w:instrText>
            </w:r>
            <w:r w:rsidR="009479F4">
              <w:rPr>
                <w:noProof/>
                <w:webHidden/>
              </w:rPr>
            </w:r>
            <w:r w:rsidR="009479F4">
              <w:rPr>
                <w:noProof/>
                <w:webHidden/>
              </w:rPr>
              <w:fldChar w:fldCharType="separate"/>
            </w:r>
            <w:r w:rsidR="00BE4141">
              <w:rPr>
                <w:noProof/>
                <w:webHidden/>
              </w:rPr>
              <w:t>14</w:t>
            </w:r>
            <w:r w:rsidR="009479F4">
              <w:rPr>
                <w:noProof/>
                <w:webHidden/>
              </w:rPr>
              <w:fldChar w:fldCharType="end"/>
            </w:r>
          </w:hyperlink>
        </w:p>
        <w:p w:rsidR="009479F4" w:rsidRPr="009479F4" w:rsidRDefault="004A556B">
          <w:pPr>
            <w:pStyle w:val="TM2"/>
            <w:tabs>
              <w:tab w:val="left" w:pos="880"/>
              <w:tab w:val="right" w:leader="dot" w:pos="9628"/>
            </w:tabs>
            <w:rPr>
              <w:rFonts w:eastAsiaTheme="minorEastAsia"/>
              <w:noProof/>
              <w:lang w:eastAsia="fr-FR"/>
            </w:rPr>
          </w:pPr>
          <w:hyperlink w:anchor="_Toc516676420" w:history="1">
            <w:r w:rsidR="009479F4" w:rsidRPr="009479F4">
              <w:rPr>
                <w:rStyle w:val="Lienhypertexte"/>
                <w:rFonts w:ascii="Times New Roman" w:hAnsi="Times New Roman" w:cs="Times New Roman"/>
                <w:noProof/>
              </w:rPr>
              <w:t>3.1.</w:t>
            </w:r>
            <w:r w:rsidR="009479F4" w:rsidRPr="009479F4">
              <w:rPr>
                <w:rFonts w:eastAsiaTheme="minorEastAsia"/>
                <w:noProof/>
                <w:lang w:eastAsia="fr-FR"/>
              </w:rPr>
              <w:tab/>
            </w:r>
            <w:r w:rsidR="009479F4" w:rsidRPr="009479F4">
              <w:rPr>
                <w:rStyle w:val="Lienhypertexte"/>
                <w:rFonts w:ascii="Times New Roman" w:hAnsi="Times New Roman" w:cs="Times New Roman"/>
                <w:noProof/>
              </w:rPr>
              <w:t>Jeunes ni en emploi, ni en formation ou éducation (15-24 ans)</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_Toc516676420 \h </w:instrText>
            </w:r>
            <w:r w:rsidR="009479F4" w:rsidRPr="009479F4">
              <w:rPr>
                <w:noProof/>
                <w:webHidden/>
              </w:rPr>
            </w:r>
            <w:r w:rsidR="009479F4" w:rsidRPr="009479F4">
              <w:rPr>
                <w:noProof/>
                <w:webHidden/>
              </w:rPr>
              <w:fldChar w:fldCharType="separate"/>
            </w:r>
            <w:r w:rsidR="00BE4141">
              <w:rPr>
                <w:noProof/>
                <w:webHidden/>
              </w:rPr>
              <w:t>14</w:t>
            </w:r>
            <w:r w:rsidR="009479F4" w:rsidRPr="009479F4">
              <w:rPr>
                <w:noProof/>
                <w:webHidden/>
              </w:rPr>
              <w:fldChar w:fldCharType="end"/>
            </w:r>
          </w:hyperlink>
        </w:p>
        <w:p w:rsidR="009479F4" w:rsidRPr="009479F4" w:rsidRDefault="004A556B">
          <w:pPr>
            <w:pStyle w:val="TM2"/>
            <w:tabs>
              <w:tab w:val="left" w:pos="880"/>
              <w:tab w:val="right" w:leader="dot" w:pos="9628"/>
            </w:tabs>
            <w:rPr>
              <w:rFonts w:eastAsiaTheme="minorEastAsia"/>
              <w:noProof/>
              <w:lang w:eastAsia="fr-FR"/>
            </w:rPr>
          </w:pPr>
          <w:hyperlink w:anchor="_Toc516676421" w:history="1">
            <w:r w:rsidR="009479F4" w:rsidRPr="009479F4">
              <w:rPr>
                <w:rStyle w:val="Lienhypertexte"/>
                <w:rFonts w:ascii="Times New Roman" w:hAnsi="Times New Roman" w:cs="Times New Roman"/>
                <w:noProof/>
              </w:rPr>
              <w:t>3.2.</w:t>
            </w:r>
            <w:r w:rsidR="009479F4" w:rsidRPr="009479F4">
              <w:rPr>
                <w:rFonts w:eastAsiaTheme="minorEastAsia"/>
                <w:noProof/>
                <w:lang w:eastAsia="fr-FR"/>
              </w:rPr>
              <w:tab/>
            </w:r>
            <w:r w:rsidR="009479F4" w:rsidRPr="009479F4">
              <w:rPr>
                <w:rStyle w:val="Lienhypertexte"/>
                <w:rFonts w:ascii="Times New Roman" w:hAnsi="Times New Roman" w:cs="Times New Roman"/>
                <w:noProof/>
              </w:rPr>
              <w:t>Stratégies de recherche d’emploi des jeunes chômeurs</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_Toc516676421 \h </w:instrText>
            </w:r>
            <w:r w:rsidR="009479F4" w:rsidRPr="009479F4">
              <w:rPr>
                <w:noProof/>
                <w:webHidden/>
              </w:rPr>
            </w:r>
            <w:r w:rsidR="009479F4" w:rsidRPr="009479F4">
              <w:rPr>
                <w:noProof/>
                <w:webHidden/>
              </w:rPr>
              <w:fldChar w:fldCharType="separate"/>
            </w:r>
            <w:r w:rsidR="00BE4141">
              <w:rPr>
                <w:noProof/>
                <w:webHidden/>
              </w:rPr>
              <w:t>15</w:t>
            </w:r>
            <w:r w:rsidR="009479F4" w:rsidRPr="009479F4">
              <w:rPr>
                <w:noProof/>
                <w:webHidden/>
              </w:rPr>
              <w:fldChar w:fldCharType="end"/>
            </w:r>
          </w:hyperlink>
        </w:p>
        <w:p w:rsidR="009479F4" w:rsidRDefault="004A556B">
          <w:pPr>
            <w:pStyle w:val="TM1"/>
            <w:tabs>
              <w:tab w:val="left" w:pos="440"/>
              <w:tab w:val="right" w:leader="dot" w:pos="9628"/>
            </w:tabs>
            <w:rPr>
              <w:rFonts w:eastAsiaTheme="minorEastAsia"/>
              <w:noProof/>
              <w:lang w:eastAsia="fr-FR"/>
            </w:rPr>
          </w:pPr>
          <w:hyperlink w:anchor="_Toc516676422" w:history="1">
            <w:r w:rsidR="009479F4" w:rsidRPr="007C61FF">
              <w:rPr>
                <w:rStyle w:val="Lienhypertexte"/>
                <w:rFonts w:ascii="Times New Roman" w:eastAsia="Times New Roman" w:hAnsi="Times New Roman" w:cs="Times New Roman"/>
                <w:b/>
                <w:noProof/>
                <w:lang w:eastAsia="fr-FR"/>
              </w:rPr>
              <w:t>4.</w:t>
            </w:r>
            <w:r w:rsidR="009479F4">
              <w:rPr>
                <w:rFonts w:eastAsiaTheme="minorEastAsia"/>
                <w:noProof/>
                <w:lang w:eastAsia="fr-FR"/>
              </w:rPr>
              <w:tab/>
            </w:r>
            <w:r w:rsidR="009479F4" w:rsidRPr="007C61FF">
              <w:rPr>
                <w:rStyle w:val="Lienhypertexte"/>
                <w:rFonts w:ascii="Times New Roman" w:eastAsia="Times New Roman" w:hAnsi="Times New Roman" w:cs="Times New Roman"/>
                <w:b/>
                <w:noProof/>
                <w:lang w:eastAsia="fr-FR"/>
              </w:rPr>
              <w:t>Position relative des jeunes sur le marché du travail</w:t>
            </w:r>
            <w:r w:rsidR="009479F4">
              <w:rPr>
                <w:noProof/>
                <w:webHidden/>
              </w:rPr>
              <w:tab/>
            </w:r>
            <w:r w:rsidR="009479F4">
              <w:rPr>
                <w:noProof/>
                <w:webHidden/>
              </w:rPr>
              <w:fldChar w:fldCharType="begin"/>
            </w:r>
            <w:r w:rsidR="009479F4">
              <w:rPr>
                <w:noProof/>
                <w:webHidden/>
              </w:rPr>
              <w:instrText xml:space="preserve"> PAGEREF _Toc516676422 \h </w:instrText>
            </w:r>
            <w:r w:rsidR="009479F4">
              <w:rPr>
                <w:noProof/>
                <w:webHidden/>
              </w:rPr>
            </w:r>
            <w:r w:rsidR="009479F4">
              <w:rPr>
                <w:noProof/>
                <w:webHidden/>
              </w:rPr>
              <w:fldChar w:fldCharType="separate"/>
            </w:r>
            <w:r w:rsidR="00BE4141">
              <w:rPr>
                <w:noProof/>
                <w:webHidden/>
              </w:rPr>
              <w:t>18</w:t>
            </w:r>
            <w:r w:rsidR="009479F4">
              <w:rPr>
                <w:noProof/>
                <w:webHidden/>
              </w:rPr>
              <w:fldChar w:fldCharType="end"/>
            </w:r>
          </w:hyperlink>
        </w:p>
        <w:p w:rsidR="009479F4" w:rsidRPr="009479F4" w:rsidRDefault="004A556B">
          <w:pPr>
            <w:pStyle w:val="TM2"/>
            <w:tabs>
              <w:tab w:val="left" w:pos="880"/>
              <w:tab w:val="right" w:leader="dot" w:pos="9628"/>
            </w:tabs>
            <w:rPr>
              <w:rFonts w:eastAsiaTheme="minorEastAsia"/>
              <w:noProof/>
              <w:lang w:eastAsia="fr-FR"/>
            </w:rPr>
          </w:pPr>
          <w:hyperlink w:anchor="_Toc516676423" w:history="1">
            <w:r w:rsidR="009479F4" w:rsidRPr="009479F4">
              <w:rPr>
                <w:rStyle w:val="Lienhypertexte"/>
                <w:rFonts w:ascii="Times New Roman" w:hAnsi="Times New Roman" w:cs="Times New Roman"/>
                <w:noProof/>
              </w:rPr>
              <w:t>4.1.</w:t>
            </w:r>
            <w:r w:rsidR="009479F4" w:rsidRPr="009479F4">
              <w:rPr>
                <w:rFonts w:eastAsiaTheme="minorEastAsia"/>
                <w:noProof/>
                <w:lang w:eastAsia="fr-FR"/>
              </w:rPr>
              <w:tab/>
            </w:r>
            <w:r w:rsidR="009479F4" w:rsidRPr="009479F4">
              <w:rPr>
                <w:rStyle w:val="Lienhypertexte"/>
                <w:rFonts w:ascii="Times New Roman" w:hAnsi="Times New Roman" w:cs="Times New Roman"/>
                <w:noProof/>
              </w:rPr>
              <w:t>Caractéristiques des jeunes/adultes sur le marché du travail</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_Toc516676423 \h </w:instrText>
            </w:r>
            <w:r w:rsidR="009479F4" w:rsidRPr="009479F4">
              <w:rPr>
                <w:noProof/>
                <w:webHidden/>
              </w:rPr>
            </w:r>
            <w:r w:rsidR="009479F4" w:rsidRPr="009479F4">
              <w:rPr>
                <w:noProof/>
                <w:webHidden/>
              </w:rPr>
              <w:fldChar w:fldCharType="separate"/>
            </w:r>
            <w:r w:rsidR="00BE4141">
              <w:rPr>
                <w:noProof/>
                <w:webHidden/>
              </w:rPr>
              <w:t>18</w:t>
            </w:r>
            <w:r w:rsidR="009479F4" w:rsidRPr="009479F4">
              <w:rPr>
                <w:noProof/>
                <w:webHidden/>
              </w:rPr>
              <w:fldChar w:fldCharType="end"/>
            </w:r>
          </w:hyperlink>
        </w:p>
        <w:p w:rsidR="009479F4" w:rsidRPr="009479F4" w:rsidRDefault="004A556B">
          <w:pPr>
            <w:pStyle w:val="TM2"/>
            <w:tabs>
              <w:tab w:val="left" w:pos="880"/>
              <w:tab w:val="right" w:leader="dot" w:pos="9628"/>
            </w:tabs>
            <w:rPr>
              <w:rFonts w:eastAsiaTheme="minorEastAsia"/>
              <w:noProof/>
              <w:lang w:eastAsia="fr-FR"/>
            </w:rPr>
          </w:pPr>
          <w:hyperlink w:anchor="_Toc516676424" w:history="1">
            <w:r w:rsidR="009479F4" w:rsidRPr="009479F4">
              <w:rPr>
                <w:rStyle w:val="Lienhypertexte"/>
                <w:rFonts w:ascii="Times New Roman" w:hAnsi="Times New Roman" w:cs="Times New Roman"/>
                <w:noProof/>
              </w:rPr>
              <w:t>4.2.</w:t>
            </w:r>
            <w:r w:rsidR="009479F4" w:rsidRPr="009479F4">
              <w:rPr>
                <w:rFonts w:eastAsiaTheme="minorEastAsia"/>
                <w:noProof/>
                <w:lang w:eastAsia="fr-FR"/>
              </w:rPr>
              <w:tab/>
            </w:r>
            <w:r w:rsidR="009479F4" w:rsidRPr="009479F4">
              <w:rPr>
                <w:rStyle w:val="Lienhypertexte"/>
                <w:rFonts w:ascii="Times New Roman" w:hAnsi="Times New Roman" w:cs="Times New Roman"/>
                <w:noProof/>
              </w:rPr>
              <w:t>Poids de la population des jeunes/adultes sur la population en âge de travailler travail</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_Toc516676424 \h </w:instrText>
            </w:r>
            <w:r w:rsidR="009479F4" w:rsidRPr="009479F4">
              <w:rPr>
                <w:noProof/>
                <w:webHidden/>
              </w:rPr>
            </w:r>
            <w:r w:rsidR="009479F4" w:rsidRPr="009479F4">
              <w:rPr>
                <w:noProof/>
                <w:webHidden/>
              </w:rPr>
              <w:fldChar w:fldCharType="separate"/>
            </w:r>
            <w:r w:rsidR="00BE4141">
              <w:rPr>
                <w:noProof/>
                <w:webHidden/>
              </w:rPr>
              <w:t>19</w:t>
            </w:r>
            <w:r w:rsidR="009479F4" w:rsidRPr="009479F4">
              <w:rPr>
                <w:noProof/>
                <w:webHidden/>
              </w:rPr>
              <w:fldChar w:fldCharType="end"/>
            </w:r>
          </w:hyperlink>
        </w:p>
        <w:p w:rsidR="009479F4" w:rsidRDefault="004A556B">
          <w:pPr>
            <w:pStyle w:val="TM1"/>
            <w:tabs>
              <w:tab w:val="left" w:pos="440"/>
              <w:tab w:val="right" w:leader="dot" w:pos="9628"/>
            </w:tabs>
            <w:rPr>
              <w:rFonts w:eastAsiaTheme="minorEastAsia"/>
              <w:noProof/>
              <w:lang w:eastAsia="fr-FR"/>
            </w:rPr>
          </w:pPr>
          <w:hyperlink w:anchor="_Toc516676425" w:history="1">
            <w:r w:rsidR="009479F4" w:rsidRPr="007C61FF">
              <w:rPr>
                <w:rStyle w:val="Lienhypertexte"/>
                <w:rFonts w:ascii="Times New Roman" w:eastAsia="Times New Roman" w:hAnsi="Times New Roman" w:cs="Times New Roman"/>
                <w:b/>
                <w:noProof/>
                <w:lang w:eastAsia="fr-FR"/>
              </w:rPr>
              <w:t>5.</w:t>
            </w:r>
            <w:r w:rsidR="009479F4">
              <w:rPr>
                <w:rFonts w:eastAsiaTheme="minorEastAsia"/>
                <w:noProof/>
                <w:lang w:eastAsia="fr-FR"/>
              </w:rPr>
              <w:tab/>
            </w:r>
            <w:r w:rsidR="009479F4" w:rsidRPr="007C61FF">
              <w:rPr>
                <w:rStyle w:val="Lienhypertexte"/>
                <w:rFonts w:ascii="Times New Roman" w:eastAsia="Times New Roman" w:hAnsi="Times New Roman" w:cs="Times New Roman"/>
                <w:b/>
                <w:noProof/>
                <w:lang w:eastAsia="fr-FR"/>
              </w:rPr>
              <w:t>Analyse du marché local</w:t>
            </w:r>
            <w:r w:rsidR="009479F4">
              <w:rPr>
                <w:noProof/>
                <w:webHidden/>
              </w:rPr>
              <w:tab/>
            </w:r>
            <w:r w:rsidR="009479F4">
              <w:rPr>
                <w:noProof/>
                <w:webHidden/>
              </w:rPr>
              <w:fldChar w:fldCharType="begin"/>
            </w:r>
            <w:r w:rsidR="009479F4">
              <w:rPr>
                <w:noProof/>
                <w:webHidden/>
              </w:rPr>
              <w:instrText xml:space="preserve"> PAGEREF _Toc516676425 \h </w:instrText>
            </w:r>
            <w:r w:rsidR="009479F4">
              <w:rPr>
                <w:noProof/>
                <w:webHidden/>
              </w:rPr>
            </w:r>
            <w:r w:rsidR="009479F4">
              <w:rPr>
                <w:noProof/>
                <w:webHidden/>
              </w:rPr>
              <w:fldChar w:fldCharType="separate"/>
            </w:r>
            <w:r w:rsidR="00BE4141">
              <w:rPr>
                <w:noProof/>
                <w:webHidden/>
              </w:rPr>
              <w:t>20</w:t>
            </w:r>
            <w:r w:rsidR="009479F4">
              <w:rPr>
                <w:noProof/>
                <w:webHidden/>
              </w:rPr>
              <w:fldChar w:fldCharType="end"/>
            </w:r>
          </w:hyperlink>
        </w:p>
        <w:p w:rsidR="009479F4" w:rsidRPr="009479F4" w:rsidRDefault="004A556B">
          <w:pPr>
            <w:pStyle w:val="TM2"/>
            <w:tabs>
              <w:tab w:val="left" w:pos="880"/>
              <w:tab w:val="right" w:leader="dot" w:pos="9628"/>
            </w:tabs>
            <w:rPr>
              <w:rFonts w:eastAsiaTheme="minorEastAsia"/>
              <w:noProof/>
              <w:lang w:eastAsia="fr-FR"/>
            </w:rPr>
          </w:pPr>
          <w:hyperlink w:anchor="_Toc516676426" w:history="1">
            <w:r w:rsidR="009479F4" w:rsidRPr="009479F4">
              <w:rPr>
                <w:rStyle w:val="Lienhypertexte"/>
                <w:rFonts w:ascii="Times New Roman" w:hAnsi="Times New Roman" w:cs="Times New Roman"/>
                <w:noProof/>
              </w:rPr>
              <w:t>5.1.</w:t>
            </w:r>
            <w:r w:rsidR="009479F4" w:rsidRPr="009479F4">
              <w:rPr>
                <w:rFonts w:eastAsiaTheme="minorEastAsia"/>
                <w:noProof/>
                <w:lang w:eastAsia="fr-FR"/>
              </w:rPr>
              <w:tab/>
            </w:r>
            <w:r w:rsidR="009479F4" w:rsidRPr="009479F4">
              <w:rPr>
                <w:rStyle w:val="Lienhypertexte"/>
                <w:rFonts w:ascii="Times New Roman" w:hAnsi="Times New Roman" w:cs="Times New Roman"/>
                <w:noProof/>
              </w:rPr>
              <w:t>Analyse du marché local de la région de Kayes</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_Toc516676426 \h </w:instrText>
            </w:r>
            <w:r w:rsidR="009479F4" w:rsidRPr="009479F4">
              <w:rPr>
                <w:noProof/>
                <w:webHidden/>
              </w:rPr>
            </w:r>
            <w:r w:rsidR="009479F4" w:rsidRPr="009479F4">
              <w:rPr>
                <w:noProof/>
                <w:webHidden/>
              </w:rPr>
              <w:fldChar w:fldCharType="separate"/>
            </w:r>
            <w:r w:rsidR="00BE4141">
              <w:rPr>
                <w:noProof/>
                <w:webHidden/>
              </w:rPr>
              <w:t>20</w:t>
            </w:r>
            <w:r w:rsidR="009479F4" w:rsidRPr="009479F4">
              <w:rPr>
                <w:noProof/>
                <w:webHidden/>
              </w:rPr>
              <w:fldChar w:fldCharType="end"/>
            </w:r>
          </w:hyperlink>
        </w:p>
        <w:p w:rsidR="009479F4" w:rsidRPr="009479F4" w:rsidRDefault="004A556B">
          <w:pPr>
            <w:pStyle w:val="TM2"/>
            <w:tabs>
              <w:tab w:val="left" w:pos="880"/>
              <w:tab w:val="right" w:leader="dot" w:pos="9628"/>
            </w:tabs>
            <w:rPr>
              <w:rFonts w:eastAsiaTheme="minorEastAsia"/>
              <w:noProof/>
              <w:lang w:eastAsia="fr-FR"/>
            </w:rPr>
          </w:pPr>
          <w:hyperlink w:anchor="_Toc516676427" w:history="1">
            <w:r w:rsidR="009479F4" w:rsidRPr="009479F4">
              <w:rPr>
                <w:rStyle w:val="Lienhypertexte"/>
                <w:rFonts w:ascii="Times New Roman" w:hAnsi="Times New Roman" w:cs="Times New Roman"/>
                <w:noProof/>
              </w:rPr>
              <w:t>5.2.</w:t>
            </w:r>
            <w:r w:rsidR="009479F4" w:rsidRPr="009479F4">
              <w:rPr>
                <w:rFonts w:eastAsiaTheme="minorEastAsia"/>
                <w:noProof/>
                <w:lang w:eastAsia="fr-FR"/>
              </w:rPr>
              <w:tab/>
            </w:r>
            <w:r w:rsidR="009479F4" w:rsidRPr="009479F4">
              <w:rPr>
                <w:rStyle w:val="Lienhypertexte"/>
                <w:rFonts w:ascii="Times New Roman" w:hAnsi="Times New Roman" w:cs="Times New Roman"/>
                <w:noProof/>
              </w:rPr>
              <w:t>Analyse du marché local de la région de Sikasso</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_Toc516676427 \h </w:instrText>
            </w:r>
            <w:r w:rsidR="009479F4" w:rsidRPr="009479F4">
              <w:rPr>
                <w:noProof/>
                <w:webHidden/>
              </w:rPr>
            </w:r>
            <w:r w:rsidR="009479F4" w:rsidRPr="009479F4">
              <w:rPr>
                <w:noProof/>
                <w:webHidden/>
              </w:rPr>
              <w:fldChar w:fldCharType="separate"/>
            </w:r>
            <w:r w:rsidR="00BE4141">
              <w:rPr>
                <w:noProof/>
                <w:webHidden/>
              </w:rPr>
              <w:t>24</w:t>
            </w:r>
            <w:r w:rsidR="009479F4" w:rsidRPr="009479F4">
              <w:rPr>
                <w:noProof/>
                <w:webHidden/>
              </w:rPr>
              <w:fldChar w:fldCharType="end"/>
            </w:r>
          </w:hyperlink>
        </w:p>
        <w:p w:rsidR="009479F4" w:rsidRPr="009479F4" w:rsidRDefault="004A556B">
          <w:pPr>
            <w:pStyle w:val="TM2"/>
            <w:tabs>
              <w:tab w:val="left" w:pos="880"/>
              <w:tab w:val="right" w:leader="dot" w:pos="9628"/>
            </w:tabs>
            <w:rPr>
              <w:rFonts w:eastAsiaTheme="minorEastAsia"/>
              <w:noProof/>
              <w:lang w:eastAsia="fr-FR"/>
            </w:rPr>
          </w:pPr>
          <w:hyperlink w:anchor="_Toc516676428" w:history="1">
            <w:r w:rsidR="009479F4" w:rsidRPr="009479F4">
              <w:rPr>
                <w:rStyle w:val="Lienhypertexte"/>
                <w:rFonts w:ascii="Times New Roman" w:hAnsi="Times New Roman" w:cs="Times New Roman"/>
                <w:noProof/>
              </w:rPr>
              <w:t>5.3.</w:t>
            </w:r>
            <w:r w:rsidR="009479F4" w:rsidRPr="009479F4">
              <w:rPr>
                <w:rFonts w:eastAsiaTheme="minorEastAsia"/>
                <w:noProof/>
                <w:lang w:eastAsia="fr-FR"/>
              </w:rPr>
              <w:tab/>
            </w:r>
            <w:r w:rsidR="009479F4" w:rsidRPr="009479F4">
              <w:rPr>
                <w:rStyle w:val="Lienhypertexte"/>
                <w:rFonts w:ascii="Times New Roman" w:hAnsi="Times New Roman" w:cs="Times New Roman"/>
                <w:noProof/>
              </w:rPr>
              <w:t>Analyse du marché local de la région de Ségou</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_Toc516676428 \h </w:instrText>
            </w:r>
            <w:r w:rsidR="009479F4" w:rsidRPr="009479F4">
              <w:rPr>
                <w:noProof/>
                <w:webHidden/>
              </w:rPr>
            </w:r>
            <w:r w:rsidR="009479F4" w:rsidRPr="009479F4">
              <w:rPr>
                <w:noProof/>
                <w:webHidden/>
              </w:rPr>
              <w:fldChar w:fldCharType="separate"/>
            </w:r>
            <w:r w:rsidR="00BE4141">
              <w:rPr>
                <w:noProof/>
                <w:webHidden/>
              </w:rPr>
              <w:t>28</w:t>
            </w:r>
            <w:r w:rsidR="009479F4" w:rsidRPr="009479F4">
              <w:rPr>
                <w:noProof/>
                <w:webHidden/>
              </w:rPr>
              <w:fldChar w:fldCharType="end"/>
            </w:r>
          </w:hyperlink>
        </w:p>
        <w:p w:rsidR="009479F4" w:rsidRPr="009479F4" w:rsidRDefault="004A556B">
          <w:pPr>
            <w:pStyle w:val="TM2"/>
            <w:tabs>
              <w:tab w:val="left" w:pos="880"/>
              <w:tab w:val="right" w:leader="dot" w:pos="9628"/>
            </w:tabs>
            <w:rPr>
              <w:rFonts w:eastAsiaTheme="minorEastAsia"/>
              <w:noProof/>
              <w:lang w:eastAsia="fr-FR"/>
            </w:rPr>
          </w:pPr>
          <w:hyperlink w:anchor="_Toc516676429" w:history="1">
            <w:r w:rsidR="009479F4" w:rsidRPr="009479F4">
              <w:rPr>
                <w:rStyle w:val="Lienhypertexte"/>
                <w:rFonts w:ascii="Times New Roman" w:hAnsi="Times New Roman" w:cs="Times New Roman"/>
                <w:noProof/>
              </w:rPr>
              <w:t>5.4.</w:t>
            </w:r>
            <w:r w:rsidR="009479F4" w:rsidRPr="009479F4">
              <w:rPr>
                <w:rFonts w:eastAsiaTheme="minorEastAsia"/>
                <w:noProof/>
                <w:lang w:eastAsia="fr-FR"/>
              </w:rPr>
              <w:tab/>
            </w:r>
            <w:r w:rsidR="009479F4" w:rsidRPr="009479F4">
              <w:rPr>
                <w:rStyle w:val="Lienhypertexte"/>
                <w:rFonts w:ascii="Times New Roman" w:hAnsi="Times New Roman" w:cs="Times New Roman"/>
                <w:noProof/>
              </w:rPr>
              <w:t>Analyse du marché local de la région de Mopti</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_Toc516676429 \h </w:instrText>
            </w:r>
            <w:r w:rsidR="009479F4" w:rsidRPr="009479F4">
              <w:rPr>
                <w:noProof/>
                <w:webHidden/>
              </w:rPr>
            </w:r>
            <w:r w:rsidR="009479F4" w:rsidRPr="009479F4">
              <w:rPr>
                <w:noProof/>
                <w:webHidden/>
              </w:rPr>
              <w:fldChar w:fldCharType="separate"/>
            </w:r>
            <w:r w:rsidR="00BE4141">
              <w:rPr>
                <w:noProof/>
                <w:webHidden/>
              </w:rPr>
              <w:t>34</w:t>
            </w:r>
            <w:r w:rsidR="009479F4" w:rsidRPr="009479F4">
              <w:rPr>
                <w:noProof/>
                <w:webHidden/>
              </w:rPr>
              <w:fldChar w:fldCharType="end"/>
            </w:r>
          </w:hyperlink>
        </w:p>
        <w:p w:rsidR="009479F4" w:rsidRPr="009479F4" w:rsidRDefault="004A556B">
          <w:pPr>
            <w:pStyle w:val="TM2"/>
            <w:tabs>
              <w:tab w:val="left" w:pos="880"/>
              <w:tab w:val="right" w:leader="dot" w:pos="9628"/>
            </w:tabs>
            <w:rPr>
              <w:rFonts w:eastAsiaTheme="minorEastAsia"/>
              <w:noProof/>
              <w:lang w:eastAsia="fr-FR"/>
            </w:rPr>
          </w:pPr>
          <w:hyperlink w:anchor="_Toc516676430" w:history="1">
            <w:r w:rsidR="009479F4" w:rsidRPr="009479F4">
              <w:rPr>
                <w:rStyle w:val="Lienhypertexte"/>
                <w:rFonts w:ascii="Times New Roman" w:hAnsi="Times New Roman" w:cs="Times New Roman"/>
                <w:noProof/>
              </w:rPr>
              <w:t>5.5.</w:t>
            </w:r>
            <w:r w:rsidR="009479F4" w:rsidRPr="009479F4">
              <w:rPr>
                <w:rFonts w:eastAsiaTheme="minorEastAsia"/>
                <w:noProof/>
                <w:lang w:eastAsia="fr-FR"/>
              </w:rPr>
              <w:tab/>
            </w:r>
            <w:r w:rsidR="009479F4" w:rsidRPr="009479F4">
              <w:rPr>
                <w:rStyle w:val="Lienhypertexte"/>
                <w:rFonts w:ascii="Times New Roman" w:hAnsi="Times New Roman" w:cs="Times New Roman"/>
                <w:noProof/>
              </w:rPr>
              <w:t>Perceptions et opinions des principaux acteurs</w:t>
            </w:r>
            <w:r w:rsidR="009479F4" w:rsidRPr="009479F4">
              <w:rPr>
                <w:noProof/>
                <w:webHidden/>
              </w:rPr>
              <w:tab/>
            </w:r>
            <w:r w:rsidR="009479F4" w:rsidRPr="009479F4">
              <w:rPr>
                <w:noProof/>
                <w:webHidden/>
              </w:rPr>
              <w:fldChar w:fldCharType="begin"/>
            </w:r>
            <w:r w:rsidR="009479F4" w:rsidRPr="009479F4">
              <w:rPr>
                <w:noProof/>
                <w:webHidden/>
              </w:rPr>
              <w:instrText xml:space="preserve"> PAGEREF _Toc516676430 \h </w:instrText>
            </w:r>
            <w:r w:rsidR="009479F4" w:rsidRPr="009479F4">
              <w:rPr>
                <w:noProof/>
                <w:webHidden/>
              </w:rPr>
            </w:r>
            <w:r w:rsidR="009479F4" w:rsidRPr="009479F4">
              <w:rPr>
                <w:noProof/>
                <w:webHidden/>
              </w:rPr>
              <w:fldChar w:fldCharType="separate"/>
            </w:r>
            <w:r w:rsidR="00BE4141">
              <w:rPr>
                <w:noProof/>
                <w:webHidden/>
              </w:rPr>
              <w:t>40</w:t>
            </w:r>
            <w:r w:rsidR="009479F4" w:rsidRPr="009479F4">
              <w:rPr>
                <w:noProof/>
                <w:webHidden/>
              </w:rPr>
              <w:fldChar w:fldCharType="end"/>
            </w:r>
          </w:hyperlink>
        </w:p>
        <w:p w:rsidR="009479F4" w:rsidRDefault="004A556B">
          <w:pPr>
            <w:pStyle w:val="TM1"/>
            <w:tabs>
              <w:tab w:val="right" w:leader="dot" w:pos="9628"/>
            </w:tabs>
            <w:rPr>
              <w:rFonts w:eastAsiaTheme="minorEastAsia"/>
              <w:noProof/>
              <w:lang w:eastAsia="fr-FR"/>
            </w:rPr>
          </w:pPr>
          <w:hyperlink w:anchor="_Toc516676431" w:history="1">
            <w:r w:rsidR="009479F4" w:rsidRPr="007C61FF">
              <w:rPr>
                <w:rStyle w:val="Lienhypertexte"/>
                <w:rFonts w:ascii="Times New Roman" w:eastAsia="Times New Roman" w:hAnsi="Times New Roman" w:cs="Times New Roman"/>
                <w:b/>
                <w:noProof/>
                <w:lang w:eastAsia="fr-FR"/>
              </w:rPr>
              <w:t>Conclusion</w:t>
            </w:r>
            <w:r w:rsidR="009479F4">
              <w:rPr>
                <w:noProof/>
                <w:webHidden/>
              </w:rPr>
              <w:tab/>
            </w:r>
            <w:r w:rsidR="009479F4">
              <w:rPr>
                <w:noProof/>
                <w:webHidden/>
              </w:rPr>
              <w:fldChar w:fldCharType="begin"/>
            </w:r>
            <w:r w:rsidR="009479F4">
              <w:rPr>
                <w:noProof/>
                <w:webHidden/>
              </w:rPr>
              <w:instrText xml:space="preserve"> PAGEREF _Toc516676431 \h </w:instrText>
            </w:r>
            <w:r w:rsidR="009479F4">
              <w:rPr>
                <w:noProof/>
                <w:webHidden/>
              </w:rPr>
            </w:r>
            <w:r w:rsidR="009479F4">
              <w:rPr>
                <w:noProof/>
                <w:webHidden/>
              </w:rPr>
              <w:fldChar w:fldCharType="separate"/>
            </w:r>
            <w:r w:rsidR="00BE4141">
              <w:rPr>
                <w:noProof/>
                <w:webHidden/>
              </w:rPr>
              <w:t>41</w:t>
            </w:r>
            <w:r w:rsidR="009479F4">
              <w:rPr>
                <w:noProof/>
                <w:webHidden/>
              </w:rPr>
              <w:fldChar w:fldCharType="end"/>
            </w:r>
          </w:hyperlink>
        </w:p>
        <w:p w:rsidR="00937EDF" w:rsidRPr="006973B5" w:rsidRDefault="00937EDF">
          <w:r w:rsidRPr="006973B5">
            <w:rPr>
              <w:bCs/>
            </w:rPr>
            <w:fldChar w:fldCharType="end"/>
          </w:r>
        </w:p>
      </w:sdtContent>
    </w:sdt>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016BC6" w:rsidRPr="005F120E" w:rsidRDefault="00211B05" w:rsidP="005F120E">
      <w:pPr>
        <w:pStyle w:val="Titre1"/>
        <w:rPr>
          <w:rFonts w:ascii="Times New Roman" w:eastAsia="Times New Roman" w:hAnsi="Times New Roman" w:cs="Times New Roman"/>
          <w:b/>
          <w:color w:val="auto"/>
          <w:lang w:eastAsia="fr-FR"/>
        </w:rPr>
      </w:pPr>
      <w:bookmarkStart w:id="1" w:name="_Toc516676402"/>
      <w:r w:rsidRPr="005F120E">
        <w:rPr>
          <w:rFonts w:ascii="Times New Roman" w:eastAsia="Times New Roman" w:hAnsi="Times New Roman" w:cs="Times New Roman"/>
          <w:b/>
          <w:color w:val="auto"/>
          <w:lang w:eastAsia="fr-FR"/>
        </w:rPr>
        <w:lastRenderedPageBreak/>
        <w:t>Liste des tableaux</w:t>
      </w:r>
      <w:bookmarkEnd w:id="1"/>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9479F4" w:rsidRPr="009479F4" w:rsidRDefault="006973B5" w:rsidP="009479F4">
      <w:pPr>
        <w:pStyle w:val="Tabledesillustrations"/>
        <w:tabs>
          <w:tab w:val="right" w:leader="dot" w:pos="9628"/>
        </w:tabs>
        <w:spacing w:line="360" w:lineRule="auto"/>
        <w:ind w:left="1134" w:hanging="1134"/>
        <w:jc w:val="both"/>
        <w:rPr>
          <w:rFonts w:ascii="Times New Roman" w:eastAsiaTheme="minorEastAsia" w:hAnsi="Times New Roman" w:cs="Times New Roman"/>
          <w:noProof/>
          <w:lang w:eastAsia="fr-FR"/>
        </w:rPr>
      </w:pPr>
      <w:r w:rsidRPr="009479F4">
        <w:rPr>
          <w:rFonts w:ascii="Times New Roman" w:eastAsia="Times New Roman" w:hAnsi="Times New Roman" w:cs="Times New Roman"/>
          <w:color w:val="000000"/>
          <w:sz w:val="20"/>
          <w:szCs w:val="20"/>
          <w:lang w:eastAsia="fr-FR"/>
        </w:rPr>
        <w:fldChar w:fldCharType="begin"/>
      </w:r>
      <w:r w:rsidRPr="009479F4">
        <w:rPr>
          <w:rFonts w:ascii="Times New Roman" w:eastAsia="Times New Roman" w:hAnsi="Times New Roman" w:cs="Times New Roman"/>
          <w:color w:val="000000"/>
          <w:sz w:val="20"/>
          <w:szCs w:val="20"/>
          <w:lang w:eastAsia="fr-FR"/>
        </w:rPr>
        <w:instrText xml:space="preserve"> TOC \h \z \c "Tableau" </w:instrText>
      </w:r>
      <w:r w:rsidRPr="009479F4">
        <w:rPr>
          <w:rFonts w:ascii="Times New Roman" w:eastAsia="Times New Roman" w:hAnsi="Times New Roman" w:cs="Times New Roman"/>
          <w:color w:val="000000"/>
          <w:sz w:val="20"/>
          <w:szCs w:val="20"/>
          <w:lang w:eastAsia="fr-FR"/>
        </w:rPr>
        <w:fldChar w:fldCharType="separate"/>
      </w:r>
      <w:hyperlink w:anchor="_Toc516676453" w:history="1">
        <w:r w:rsidR="009479F4" w:rsidRPr="009479F4">
          <w:rPr>
            <w:rStyle w:val="Lienhypertexte"/>
            <w:rFonts w:ascii="Times New Roman" w:hAnsi="Times New Roman" w:cs="Times New Roman"/>
            <w:noProof/>
          </w:rPr>
          <w:t>Tableau 1.: évolution des principaux indicateurs selon le sexe</w:t>
        </w:r>
        <w:r w:rsidR="009479F4" w:rsidRPr="009479F4">
          <w:rPr>
            <w:rFonts w:ascii="Times New Roman" w:hAnsi="Times New Roman" w:cs="Times New Roman"/>
            <w:noProof/>
            <w:webHidden/>
          </w:rPr>
          <w:tab/>
        </w:r>
        <w:r w:rsidR="009479F4" w:rsidRPr="009479F4">
          <w:rPr>
            <w:rFonts w:ascii="Times New Roman" w:hAnsi="Times New Roman" w:cs="Times New Roman"/>
            <w:noProof/>
            <w:webHidden/>
          </w:rPr>
          <w:fldChar w:fldCharType="begin"/>
        </w:r>
        <w:r w:rsidR="009479F4" w:rsidRPr="009479F4">
          <w:rPr>
            <w:rFonts w:ascii="Times New Roman" w:hAnsi="Times New Roman" w:cs="Times New Roman"/>
            <w:noProof/>
            <w:webHidden/>
          </w:rPr>
          <w:instrText xml:space="preserve"> PAGEREF _Toc516676453 \h </w:instrText>
        </w:r>
        <w:r w:rsidR="009479F4" w:rsidRPr="009479F4">
          <w:rPr>
            <w:rFonts w:ascii="Times New Roman" w:hAnsi="Times New Roman" w:cs="Times New Roman"/>
            <w:noProof/>
            <w:webHidden/>
          </w:rPr>
        </w:r>
        <w:r w:rsidR="009479F4" w:rsidRPr="009479F4">
          <w:rPr>
            <w:rFonts w:ascii="Times New Roman" w:hAnsi="Times New Roman" w:cs="Times New Roman"/>
            <w:noProof/>
            <w:webHidden/>
          </w:rPr>
          <w:fldChar w:fldCharType="separate"/>
        </w:r>
        <w:r w:rsidR="009479F4" w:rsidRPr="009479F4">
          <w:rPr>
            <w:rFonts w:ascii="Times New Roman" w:hAnsi="Times New Roman" w:cs="Times New Roman"/>
            <w:noProof/>
            <w:webHidden/>
          </w:rPr>
          <w:t>6</w:t>
        </w:r>
        <w:r w:rsidR="009479F4" w:rsidRPr="009479F4">
          <w:rPr>
            <w:rFonts w:ascii="Times New Roman" w:hAnsi="Times New Roman" w:cs="Times New Roman"/>
            <w:noProof/>
            <w:webHidden/>
          </w:rPr>
          <w:fldChar w:fldCharType="end"/>
        </w:r>
      </w:hyperlink>
    </w:p>
    <w:p w:rsidR="009479F4" w:rsidRPr="009479F4" w:rsidRDefault="004A556B" w:rsidP="009479F4">
      <w:pPr>
        <w:pStyle w:val="Tabledesillustrations"/>
        <w:tabs>
          <w:tab w:val="right" w:leader="dot" w:pos="9628"/>
        </w:tabs>
        <w:spacing w:line="360" w:lineRule="auto"/>
        <w:ind w:left="1134" w:hanging="1134"/>
        <w:jc w:val="both"/>
        <w:rPr>
          <w:rFonts w:ascii="Times New Roman" w:eastAsiaTheme="minorEastAsia" w:hAnsi="Times New Roman" w:cs="Times New Roman"/>
          <w:noProof/>
          <w:lang w:eastAsia="fr-FR"/>
        </w:rPr>
      </w:pPr>
      <w:hyperlink w:anchor="_Toc516676454" w:history="1">
        <w:r w:rsidR="009479F4" w:rsidRPr="009479F4">
          <w:rPr>
            <w:rStyle w:val="Lienhypertexte"/>
            <w:rFonts w:ascii="Times New Roman" w:hAnsi="Times New Roman" w:cs="Times New Roman"/>
            <w:noProof/>
          </w:rPr>
          <w:t>Tableau 2. Évolution du taux d’emploi (en%) de 2013 à 2017 par région</w:t>
        </w:r>
        <w:r w:rsidR="009479F4" w:rsidRPr="009479F4">
          <w:rPr>
            <w:rFonts w:ascii="Times New Roman" w:hAnsi="Times New Roman" w:cs="Times New Roman"/>
            <w:noProof/>
            <w:webHidden/>
          </w:rPr>
          <w:tab/>
        </w:r>
        <w:r w:rsidR="009479F4" w:rsidRPr="009479F4">
          <w:rPr>
            <w:rFonts w:ascii="Times New Roman" w:hAnsi="Times New Roman" w:cs="Times New Roman"/>
            <w:noProof/>
            <w:webHidden/>
          </w:rPr>
          <w:fldChar w:fldCharType="begin"/>
        </w:r>
        <w:r w:rsidR="009479F4" w:rsidRPr="009479F4">
          <w:rPr>
            <w:rFonts w:ascii="Times New Roman" w:hAnsi="Times New Roman" w:cs="Times New Roman"/>
            <w:noProof/>
            <w:webHidden/>
          </w:rPr>
          <w:instrText xml:space="preserve"> PAGEREF _Toc516676454 \h </w:instrText>
        </w:r>
        <w:r w:rsidR="009479F4" w:rsidRPr="009479F4">
          <w:rPr>
            <w:rFonts w:ascii="Times New Roman" w:hAnsi="Times New Roman" w:cs="Times New Roman"/>
            <w:noProof/>
            <w:webHidden/>
          </w:rPr>
        </w:r>
        <w:r w:rsidR="009479F4" w:rsidRPr="009479F4">
          <w:rPr>
            <w:rFonts w:ascii="Times New Roman" w:hAnsi="Times New Roman" w:cs="Times New Roman"/>
            <w:noProof/>
            <w:webHidden/>
          </w:rPr>
          <w:fldChar w:fldCharType="separate"/>
        </w:r>
        <w:r w:rsidR="009479F4" w:rsidRPr="009479F4">
          <w:rPr>
            <w:rFonts w:ascii="Times New Roman" w:hAnsi="Times New Roman" w:cs="Times New Roman"/>
            <w:noProof/>
            <w:webHidden/>
          </w:rPr>
          <w:t>8</w:t>
        </w:r>
        <w:r w:rsidR="009479F4" w:rsidRPr="009479F4">
          <w:rPr>
            <w:rFonts w:ascii="Times New Roman" w:hAnsi="Times New Roman" w:cs="Times New Roman"/>
            <w:noProof/>
            <w:webHidden/>
          </w:rPr>
          <w:fldChar w:fldCharType="end"/>
        </w:r>
      </w:hyperlink>
    </w:p>
    <w:p w:rsidR="009479F4" w:rsidRPr="009479F4" w:rsidRDefault="004A556B" w:rsidP="009479F4">
      <w:pPr>
        <w:pStyle w:val="Tabledesillustrations"/>
        <w:tabs>
          <w:tab w:val="right" w:leader="dot" w:pos="9628"/>
        </w:tabs>
        <w:spacing w:line="360" w:lineRule="auto"/>
        <w:ind w:left="1134" w:hanging="1134"/>
        <w:jc w:val="both"/>
        <w:rPr>
          <w:rFonts w:ascii="Times New Roman" w:eastAsiaTheme="minorEastAsia" w:hAnsi="Times New Roman" w:cs="Times New Roman"/>
          <w:noProof/>
          <w:lang w:eastAsia="fr-FR"/>
        </w:rPr>
      </w:pPr>
      <w:hyperlink w:anchor="_Toc516676455" w:history="1">
        <w:r w:rsidR="009479F4" w:rsidRPr="009479F4">
          <w:rPr>
            <w:rStyle w:val="Lienhypertexte"/>
            <w:rFonts w:ascii="Times New Roman" w:hAnsi="Times New Roman" w:cs="Times New Roman"/>
            <w:noProof/>
          </w:rPr>
          <w:t>Tableau 3. Evolution du taux de chômage (en%) de 2013 à 2017 par région</w:t>
        </w:r>
        <w:r w:rsidR="009479F4" w:rsidRPr="009479F4">
          <w:rPr>
            <w:rFonts w:ascii="Times New Roman" w:hAnsi="Times New Roman" w:cs="Times New Roman"/>
            <w:noProof/>
            <w:webHidden/>
          </w:rPr>
          <w:tab/>
        </w:r>
        <w:r w:rsidR="009479F4" w:rsidRPr="009479F4">
          <w:rPr>
            <w:rFonts w:ascii="Times New Roman" w:hAnsi="Times New Roman" w:cs="Times New Roman"/>
            <w:noProof/>
            <w:webHidden/>
          </w:rPr>
          <w:fldChar w:fldCharType="begin"/>
        </w:r>
        <w:r w:rsidR="009479F4" w:rsidRPr="009479F4">
          <w:rPr>
            <w:rFonts w:ascii="Times New Roman" w:hAnsi="Times New Roman" w:cs="Times New Roman"/>
            <w:noProof/>
            <w:webHidden/>
          </w:rPr>
          <w:instrText xml:space="preserve"> PAGEREF _Toc516676455 \h </w:instrText>
        </w:r>
        <w:r w:rsidR="009479F4" w:rsidRPr="009479F4">
          <w:rPr>
            <w:rFonts w:ascii="Times New Roman" w:hAnsi="Times New Roman" w:cs="Times New Roman"/>
            <w:noProof/>
            <w:webHidden/>
          </w:rPr>
        </w:r>
        <w:r w:rsidR="009479F4" w:rsidRPr="009479F4">
          <w:rPr>
            <w:rFonts w:ascii="Times New Roman" w:hAnsi="Times New Roman" w:cs="Times New Roman"/>
            <w:noProof/>
            <w:webHidden/>
          </w:rPr>
          <w:fldChar w:fldCharType="separate"/>
        </w:r>
        <w:r w:rsidR="009479F4" w:rsidRPr="009479F4">
          <w:rPr>
            <w:rFonts w:ascii="Times New Roman" w:hAnsi="Times New Roman" w:cs="Times New Roman"/>
            <w:noProof/>
            <w:webHidden/>
          </w:rPr>
          <w:t>9</w:t>
        </w:r>
        <w:r w:rsidR="009479F4" w:rsidRPr="009479F4">
          <w:rPr>
            <w:rFonts w:ascii="Times New Roman" w:hAnsi="Times New Roman" w:cs="Times New Roman"/>
            <w:noProof/>
            <w:webHidden/>
          </w:rPr>
          <w:fldChar w:fldCharType="end"/>
        </w:r>
      </w:hyperlink>
    </w:p>
    <w:p w:rsidR="009479F4" w:rsidRPr="009479F4" w:rsidRDefault="004A556B" w:rsidP="009479F4">
      <w:pPr>
        <w:pStyle w:val="Tabledesillustrations"/>
        <w:tabs>
          <w:tab w:val="right" w:leader="dot" w:pos="9628"/>
        </w:tabs>
        <w:spacing w:line="360" w:lineRule="auto"/>
        <w:ind w:left="1134" w:hanging="1134"/>
        <w:jc w:val="both"/>
        <w:rPr>
          <w:rFonts w:ascii="Times New Roman" w:eastAsiaTheme="minorEastAsia" w:hAnsi="Times New Roman" w:cs="Times New Roman"/>
          <w:noProof/>
          <w:lang w:eastAsia="fr-FR"/>
        </w:rPr>
      </w:pPr>
      <w:hyperlink w:anchor="_Toc516676456" w:history="1">
        <w:r w:rsidR="009479F4" w:rsidRPr="009479F4">
          <w:rPr>
            <w:rStyle w:val="Lienhypertexte"/>
            <w:rFonts w:ascii="Times New Roman" w:hAnsi="Times New Roman" w:cs="Times New Roman"/>
            <w:noProof/>
          </w:rPr>
          <w:t>Tableau 4.Eévolution du taux de chômage et du taux de sous-emploi (en%) de 2013 à 2017</w:t>
        </w:r>
        <w:r w:rsidR="009479F4" w:rsidRPr="009479F4">
          <w:rPr>
            <w:rFonts w:ascii="Times New Roman" w:hAnsi="Times New Roman" w:cs="Times New Roman"/>
            <w:noProof/>
            <w:webHidden/>
          </w:rPr>
          <w:tab/>
        </w:r>
        <w:r w:rsidR="009479F4" w:rsidRPr="009479F4">
          <w:rPr>
            <w:rFonts w:ascii="Times New Roman" w:hAnsi="Times New Roman" w:cs="Times New Roman"/>
            <w:noProof/>
            <w:webHidden/>
          </w:rPr>
          <w:fldChar w:fldCharType="begin"/>
        </w:r>
        <w:r w:rsidR="009479F4" w:rsidRPr="009479F4">
          <w:rPr>
            <w:rFonts w:ascii="Times New Roman" w:hAnsi="Times New Roman" w:cs="Times New Roman"/>
            <w:noProof/>
            <w:webHidden/>
          </w:rPr>
          <w:instrText xml:space="preserve"> PAGEREF _Toc516676456 \h </w:instrText>
        </w:r>
        <w:r w:rsidR="009479F4" w:rsidRPr="009479F4">
          <w:rPr>
            <w:rFonts w:ascii="Times New Roman" w:hAnsi="Times New Roman" w:cs="Times New Roman"/>
            <w:noProof/>
            <w:webHidden/>
          </w:rPr>
        </w:r>
        <w:r w:rsidR="009479F4" w:rsidRPr="009479F4">
          <w:rPr>
            <w:rFonts w:ascii="Times New Roman" w:hAnsi="Times New Roman" w:cs="Times New Roman"/>
            <w:noProof/>
            <w:webHidden/>
          </w:rPr>
          <w:fldChar w:fldCharType="separate"/>
        </w:r>
        <w:r w:rsidR="009479F4" w:rsidRPr="009479F4">
          <w:rPr>
            <w:rFonts w:ascii="Times New Roman" w:hAnsi="Times New Roman" w:cs="Times New Roman"/>
            <w:noProof/>
            <w:webHidden/>
          </w:rPr>
          <w:t>9</w:t>
        </w:r>
        <w:r w:rsidR="009479F4" w:rsidRPr="009479F4">
          <w:rPr>
            <w:rFonts w:ascii="Times New Roman" w:hAnsi="Times New Roman" w:cs="Times New Roman"/>
            <w:noProof/>
            <w:webHidden/>
          </w:rPr>
          <w:fldChar w:fldCharType="end"/>
        </w:r>
      </w:hyperlink>
    </w:p>
    <w:p w:rsidR="009479F4" w:rsidRPr="009479F4" w:rsidRDefault="004A556B" w:rsidP="009479F4">
      <w:pPr>
        <w:pStyle w:val="Tabledesillustrations"/>
        <w:tabs>
          <w:tab w:val="right" w:leader="dot" w:pos="9628"/>
        </w:tabs>
        <w:spacing w:line="360" w:lineRule="auto"/>
        <w:ind w:left="1134" w:hanging="1134"/>
        <w:jc w:val="both"/>
        <w:rPr>
          <w:rFonts w:ascii="Times New Roman" w:eastAsiaTheme="minorEastAsia" w:hAnsi="Times New Roman" w:cs="Times New Roman"/>
          <w:noProof/>
          <w:lang w:eastAsia="fr-FR"/>
        </w:rPr>
      </w:pPr>
      <w:hyperlink w:anchor="_Toc516676457" w:history="1">
        <w:r w:rsidR="009479F4" w:rsidRPr="009479F4">
          <w:rPr>
            <w:rStyle w:val="Lienhypertexte"/>
            <w:rFonts w:ascii="Times New Roman" w:hAnsi="Times New Roman" w:cs="Times New Roman"/>
            <w:noProof/>
          </w:rPr>
          <w:t>Tableau 5.Evolution du taux de chômage et du taux d’inactivité (en%) de 2013 à 2017</w:t>
        </w:r>
        <w:r w:rsidR="009479F4" w:rsidRPr="009479F4">
          <w:rPr>
            <w:rFonts w:ascii="Times New Roman" w:hAnsi="Times New Roman" w:cs="Times New Roman"/>
            <w:noProof/>
            <w:webHidden/>
          </w:rPr>
          <w:tab/>
        </w:r>
        <w:r w:rsidR="009479F4" w:rsidRPr="009479F4">
          <w:rPr>
            <w:rFonts w:ascii="Times New Roman" w:hAnsi="Times New Roman" w:cs="Times New Roman"/>
            <w:noProof/>
            <w:webHidden/>
          </w:rPr>
          <w:fldChar w:fldCharType="begin"/>
        </w:r>
        <w:r w:rsidR="009479F4" w:rsidRPr="009479F4">
          <w:rPr>
            <w:rFonts w:ascii="Times New Roman" w:hAnsi="Times New Roman" w:cs="Times New Roman"/>
            <w:noProof/>
            <w:webHidden/>
          </w:rPr>
          <w:instrText xml:space="preserve"> PAGEREF _Toc516676457 \h </w:instrText>
        </w:r>
        <w:r w:rsidR="009479F4" w:rsidRPr="009479F4">
          <w:rPr>
            <w:rFonts w:ascii="Times New Roman" w:hAnsi="Times New Roman" w:cs="Times New Roman"/>
            <w:noProof/>
            <w:webHidden/>
          </w:rPr>
        </w:r>
        <w:r w:rsidR="009479F4" w:rsidRPr="009479F4">
          <w:rPr>
            <w:rFonts w:ascii="Times New Roman" w:hAnsi="Times New Roman" w:cs="Times New Roman"/>
            <w:noProof/>
            <w:webHidden/>
          </w:rPr>
          <w:fldChar w:fldCharType="separate"/>
        </w:r>
        <w:r w:rsidR="009479F4" w:rsidRPr="009479F4">
          <w:rPr>
            <w:rFonts w:ascii="Times New Roman" w:hAnsi="Times New Roman" w:cs="Times New Roman"/>
            <w:noProof/>
            <w:webHidden/>
          </w:rPr>
          <w:t>10</w:t>
        </w:r>
        <w:r w:rsidR="009479F4" w:rsidRPr="009479F4">
          <w:rPr>
            <w:rFonts w:ascii="Times New Roman" w:hAnsi="Times New Roman" w:cs="Times New Roman"/>
            <w:noProof/>
            <w:webHidden/>
          </w:rPr>
          <w:fldChar w:fldCharType="end"/>
        </w:r>
      </w:hyperlink>
    </w:p>
    <w:p w:rsidR="009479F4" w:rsidRPr="009479F4" w:rsidRDefault="004A556B" w:rsidP="009479F4">
      <w:pPr>
        <w:pStyle w:val="Tabledesillustrations"/>
        <w:tabs>
          <w:tab w:val="right" w:leader="dot" w:pos="9628"/>
        </w:tabs>
        <w:spacing w:line="360" w:lineRule="auto"/>
        <w:ind w:left="1134" w:hanging="1134"/>
        <w:jc w:val="both"/>
        <w:rPr>
          <w:rFonts w:ascii="Times New Roman" w:eastAsiaTheme="minorEastAsia" w:hAnsi="Times New Roman" w:cs="Times New Roman"/>
          <w:noProof/>
          <w:lang w:eastAsia="fr-FR"/>
        </w:rPr>
      </w:pPr>
      <w:hyperlink w:anchor="_Toc516676458" w:history="1">
        <w:r w:rsidR="009479F4" w:rsidRPr="009479F4">
          <w:rPr>
            <w:rStyle w:val="Lienhypertexte"/>
            <w:rFonts w:ascii="Times New Roman" w:hAnsi="Times New Roman" w:cs="Times New Roman"/>
            <w:noProof/>
          </w:rPr>
          <w:t>Tableau 6</w:t>
        </w:r>
        <w:r w:rsidR="009479F4" w:rsidRPr="009479F4">
          <w:rPr>
            <w:rStyle w:val="Lienhypertexte"/>
            <w:rFonts w:ascii="Times New Roman" w:hAnsi="Times New Roman" w:cs="Times New Roman"/>
            <w:bCs/>
            <w:noProof/>
          </w:rPr>
          <w:t>. Répartition des emplois des jeunes selon le secteur d’activités économiques (année 2017)</w:t>
        </w:r>
        <w:r w:rsidR="009479F4" w:rsidRPr="009479F4">
          <w:rPr>
            <w:rFonts w:ascii="Times New Roman" w:hAnsi="Times New Roman" w:cs="Times New Roman"/>
            <w:noProof/>
            <w:webHidden/>
          </w:rPr>
          <w:tab/>
        </w:r>
        <w:r w:rsidR="009479F4" w:rsidRPr="009479F4">
          <w:rPr>
            <w:rFonts w:ascii="Times New Roman" w:hAnsi="Times New Roman" w:cs="Times New Roman"/>
            <w:noProof/>
            <w:webHidden/>
          </w:rPr>
          <w:fldChar w:fldCharType="begin"/>
        </w:r>
        <w:r w:rsidR="009479F4" w:rsidRPr="009479F4">
          <w:rPr>
            <w:rFonts w:ascii="Times New Roman" w:hAnsi="Times New Roman" w:cs="Times New Roman"/>
            <w:noProof/>
            <w:webHidden/>
          </w:rPr>
          <w:instrText xml:space="preserve"> PAGEREF _Toc516676458 \h </w:instrText>
        </w:r>
        <w:r w:rsidR="009479F4" w:rsidRPr="009479F4">
          <w:rPr>
            <w:rFonts w:ascii="Times New Roman" w:hAnsi="Times New Roman" w:cs="Times New Roman"/>
            <w:noProof/>
            <w:webHidden/>
          </w:rPr>
        </w:r>
        <w:r w:rsidR="009479F4" w:rsidRPr="009479F4">
          <w:rPr>
            <w:rFonts w:ascii="Times New Roman" w:hAnsi="Times New Roman" w:cs="Times New Roman"/>
            <w:noProof/>
            <w:webHidden/>
          </w:rPr>
          <w:fldChar w:fldCharType="separate"/>
        </w:r>
        <w:r w:rsidR="009479F4" w:rsidRPr="009479F4">
          <w:rPr>
            <w:rFonts w:ascii="Times New Roman" w:hAnsi="Times New Roman" w:cs="Times New Roman"/>
            <w:noProof/>
            <w:webHidden/>
          </w:rPr>
          <w:t>10</w:t>
        </w:r>
        <w:r w:rsidR="009479F4" w:rsidRPr="009479F4">
          <w:rPr>
            <w:rFonts w:ascii="Times New Roman" w:hAnsi="Times New Roman" w:cs="Times New Roman"/>
            <w:noProof/>
            <w:webHidden/>
          </w:rPr>
          <w:fldChar w:fldCharType="end"/>
        </w:r>
      </w:hyperlink>
    </w:p>
    <w:p w:rsidR="009479F4" w:rsidRPr="009479F4" w:rsidRDefault="004A556B" w:rsidP="009479F4">
      <w:pPr>
        <w:pStyle w:val="Tabledesillustrations"/>
        <w:tabs>
          <w:tab w:val="right" w:leader="dot" w:pos="9628"/>
        </w:tabs>
        <w:spacing w:line="360" w:lineRule="auto"/>
        <w:ind w:left="1134" w:hanging="1134"/>
        <w:jc w:val="both"/>
        <w:rPr>
          <w:rFonts w:ascii="Times New Roman" w:eastAsiaTheme="minorEastAsia" w:hAnsi="Times New Roman" w:cs="Times New Roman"/>
          <w:noProof/>
          <w:lang w:eastAsia="fr-FR"/>
        </w:rPr>
      </w:pPr>
      <w:hyperlink w:anchor="_Toc516676459" w:history="1">
        <w:r w:rsidR="009479F4" w:rsidRPr="009479F4">
          <w:rPr>
            <w:rStyle w:val="Lienhypertexte"/>
            <w:rFonts w:ascii="Times New Roman" w:hAnsi="Times New Roman" w:cs="Times New Roman"/>
            <w:bCs/>
            <w:iCs/>
            <w:noProof/>
          </w:rPr>
          <w:t>Tableau 7. Répartition des emplois des jeunes selon le secteur institutionnel (année 2017)</w:t>
        </w:r>
        <w:r w:rsidR="009479F4" w:rsidRPr="009479F4">
          <w:rPr>
            <w:rFonts w:ascii="Times New Roman" w:hAnsi="Times New Roman" w:cs="Times New Roman"/>
            <w:noProof/>
            <w:webHidden/>
          </w:rPr>
          <w:tab/>
        </w:r>
        <w:r w:rsidR="009479F4" w:rsidRPr="009479F4">
          <w:rPr>
            <w:rFonts w:ascii="Times New Roman" w:hAnsi="Times New Roman" w:cs="Times New Roman"/>
            <w:noProof/>
            <w:webHidden/>
          </w:rPr>
          <w:fldChar w:fldCharType="begin"/>
        </w:r>
        <w:r w:rsidR="009479F4" w:rsidRPr="009479F4">
          <w:rPr>
            <w:rFonts w:ascii="Times New Roman" w:hAnsi="Times New Roman" w:cs="Times New Roman"/>
            <w:noProof/>
            <w:webHidden/>
          </w:rPr>
          <w:instrText xml:space="preserve"> PAGEREF _Toc516676459 \h </w:instrText>
        </w:r>
        <w:r w:rsidR="009479F4" w:rsidRPr="009479F4">
          <w:rPr>
            <w:rFonts w:ascii="Times New Roman" w:hAnsi="Times New Roman" w:cs="Times New Roman"/>
            <w:noProof/>
            <w:webHidden/>
          </w:rPr>
        </w:r>
        <w:r w:rsidR="009479F4" w:rsidRPr="009479F4">
          <w:rPr>
            <w:rFonts w:ascii="Times New Roman" w:hAnsi="Times New Roman" w:cs="Times New Roman"/>
            <w:noProof/>
            <w:webHidden/>
          </w:rPr>
          <w:fldChar w:fldCharType="separate"/>
        </w:r>
        <w:r w:rsidR="009479F4" w:rsidRPr="009479F4">
          <w:rPr>
            <w:rFonts w:ascii="Times New Roman" w:hAnsi="Times New Roman" w:cs="Times New Roman"/>
            <w:noProof/>
            <w:webHidden/>
          </w:rPr>
          <w:t>11</w:t>
        </w:r>
        <w:r w:rsidR="009479F4" w:rsidRPr="009479F4">
          <w:rPr>
            <w:rFonts w:ascii="Times New Roman" w:hAnsi="Times New Roman" w:cs="Times New Roman"/>
            <w:noProof/>
            <w:webHidden/>
          </w:rPr>
          <w:fldChar w:fldCharType="end"/>
        </w:r>
      </w:hyperlink>
    </w:p>
    <w:p w:rsidR="009479F4" w:rsidRPr="009479F4" w:rsidRDefault="004A556B" w:rsidP="009479F4">
      <w:pPr>
        <w:pStyle w:val="Tabledesillustrations"/>
        <w:tabs>
          <w:tab w:val="right" w:leader="dot" w:pos="9628"/>
        </w:tabs>
        <w:spacing w:line="360" w:lineRule="auto"/>
        <w:ind w:left="1134" w:hanging="1134"/>
        <w:jc w:val="both"/>
        <w:rPr>
          <w:rFonts w:ascii="Times New Roman" w:eastAsiaTheme="minorEastAsia" w:hAnsi="Times New Roman" w:cs="Times New Roman"/>
          <w:noProof/>
          <w:lang w:eastAsia="fr-FR"/>
        </w:rPr>
      </w:pPr>
      <w:hyperlink w:anchor="_Toc516676460" w:history="1">
        <w:r w:rsidR="009479F4" w:rsidRPr="009479F4">
          <w:rPr>
            <w:rStyle w:val="Lienhypertexte"/>
            <w:rFonts w:ascii="Times New Roman" w:hAnsi="Times New Roman" w:cs="Times New Roman"/>
            <w:bCs/>
            <w:iCs/>
            <w:noProof/>
          </w:rPr>
          <w:t>Tableau 8. Taux d’emploi informel et formel des jeunes</w:t>
        </w:r>
        <w:r w:rsidR="009479F4" w:rsidRPr="009479F4">
          <w:rPr>
            <w:rFonts w:ascii="Times New Roman" w:hAnsi="Times New Roman" w:cs="Times New Roman"/>
            <w:noProof/>
            <w:webHidden/>
          </w:rPr>
          <w:tab/>
        </w:r>
        <w:r w:rsidR="009479F4" w:rsidRPr="009479F4">
          <w:rPr>
            <w:rFonts w:ascii="Times New Roman" w:hAnsi="Times New Roman" w:cs="Times New Roman"/>
            <w:noProof/>
            <w:webHidden/>
          </w:rPr>
          <w:fldChar w:fldCharType="begin"/>
        </w:r>
        <w:r w:rsidR="009479F4" w:rsidRPr="009479F4">
          <w:rPr>
            <w:rFonts w:ascii="Times New Roman" w:hAnsi="Times New Roman" w:cs="Times New Roman"/>
            <w:noProof/>
            <w:webHidden/>
          </w:rPr>
          <w:instrText xml:space="preserve"> PAGEREF _Toc516676460 \h </w:instrText>
        </w:r>
        <w:r w:rsidR="009479F4" w:rsidRPr="009479F4">
          <w:rPr>
            <w:rFonts w:ascii="Times New Roman" w:hAnsi="Times New Roman" w:cs="Times New Roman"/>
            <w:noProof/>
            <w:webHidden/>
          </w:rPr>
        </w:r>
        <w:r w:rsidR="009479F4" w:rsidRPr="009479F4">
          <w:rPr>
            <w:rFonts w:ascii="Times New Roman" w:hAnsi="Times New Roman" w:cs="Times New Roman"/>
            <w:noProof/>
            <w:webHidden/>
          </w:rPr>
          <w:fldChar w:fldCharType="separate"/>
        </w:r>
        <w:r w:rsidR="009479F4" w:rsidRPr="009479F4">
          <w:rPr>
            <w:rFonts w:ascii="Times New Roman" w:hAnsi="Times New Roman" w:cs="Times New Roman"/>
            <w:noProof/>
            <w:webHidden/>
          </w:rPr>
          <w:t>12</w:t>
        </w:r>
        <w:r w:rsidR="009479F4" w:rsidRPr="009479F4">
          <w:rPr>
            <w:rFonts w:ascii="Times New Roman" w:hAnsi="Times New Roman" w:cs="Times New Roman"/>
            <w:noProof/>
            <w:webHidden/>
          </w:rPr>
          <w:fldChar w:fldCharType="end"/>
        </w:r>
      </w:hyperlink>
    </w:p>
    <w:p w:rsidR="009479F4" w:rsidRPr="009479F4" w:rsidRDefault="004A556B" w:rsidP="009479F4">
      <w:pPr>
        <w:pStyle w:val="Tabledesillustrations"/>
        <w:tabs>
          <w:tab w:val="right" w:leader="dot" w:pos="9628"/>
        </w:tabs>
        <w:spacing w:line="360" w:lineRule="auto"/>
        <w:ind w:left="1134" w:hanging="1134"/>
        <w:jc w:val="both"/>
        <w:rPr>
          <w:rFonts w:ascii="Times New Roman" w:eastAsiaTheme="minorEastAsia" w:hAnsi="Times New Roman" w:cs="Times New Roman"/>
          <w:noProof/>
          <w:lang w:eastAsia="fr-FR"/>
        </w:rPr>
      </w:pPr>
      <w:hyperlink w:anchor="_Toc516676461" w:history="1">
        <w:r w:rsidR="009479F4" w:rsidRPr="009479F4">
          <w:rPr>
            <w:rStyle w:val="Lienhypertexte"/>
            <w:rFonts w:ascii="Times New Roman" w:hAnsi="Times New Roman" w:cs="Times New Roman"/>
            <w:bCs/>
            <w:iCs/>
            <w:noProof/>
          </w:rPr>
          <w:t>Tableau 9. Proportion des Jeunes de (15-24 ans) « ni en emploi, ni en éducation, ni en formation », (année 2017)</w:t>
        </w:r>
        <w:r w:rsidR="009479F4" w:rsidRPr="009479F4">
          <w:rPr>
            <w:rFonts w:ascii="Times New Roman" w:hAnsi="Times New Roman" w:cs="Times New Roman"/>
            <w:noProof/>
            <w:webHidden/>
          </w:rPr>
          <w:tab/>
        </w:r>
        <w:r w:rsidR="009479F4" w:rsidRPr="009479F4">
          <w:rPr>
            <w:rFonts w:ascii="Times New Roman" w:hAnsi="Times New Roman" w:cs="Times New Roman"/>
            <w:noProof/>
            <w:webHidden/>
          </w:rPr>
          <w:fldChar w:fldCharType="begin"/>
        </w:r>
        <w:r w:rsidR="009479F4" w:rsidRPr="009479F4">
          <w:rPr>
            <w:rFonts w:ascii="Times New Roman" w:hAnsi="Times New Roman" w:cs="Times New Roman"/>
            <w:noProof/>
            <w:webHidden/>
          </w:rPr>
          <w:instrText xml:space="preserve"> PAGEREF _Toc516676461 \h </w:instrText>
        </w:r>
        <w:r w:rsidR="009479F4" w:rsidRPr="009479F4">
          <w:rPr>
            <w:rFonts w:ascii="Times New Roman" w:hAnsi="Times New Roman" w:cs="Times New Roman"/>
            <w:noProof/>
            <w:webHidden/>
          </w:rPr>
        </w:r>
        <w:r w:rsidR="009479F4" w:rsidRPr="009479F4">
          <w:rPr>
            <w:rFonts w:ascii="Times New Roman" w:hAnsi="Times New Roman" w:cs="Times New Roman"/>
            <w:noProof/>
            <w:webHidden/>
          </w:rPr>
          <w:fldChar w:fldCharType="separate"/>
        </w:r>
        <w:r w:rsidR="009479F4" w:rsidRPr="009479F4">
          <w:rPr>
            <w:rFonts w:ascii="Times New Roman" w:hAnsi="Times New Roman" w:cs="Times New Roman"/>
            <w:noProof/>
            <w:webHidden/>
          </w:rPr>
          <w:t>13</w:t>
        </w:r>
        <w:r w:rsidR="009479F4" w:rsidRPr="009479F4">
          <w:rPr>
            <w:rFonts w:ascii="Times New Roman" w:hAnsi="Times New Roman" w:cs="Times New Roman"/>
            <w:noProof/>
            <w:webHidden/>
          </w:rPr>
          <w:fldChar w:fldCharType="end"/>
        </w:r>
      </w:hyperlink>
    </w:p>
    <w:p w:rsidR="009479F4" w:rsidRPr="009479F4" w:rsidRDefault="004A556B" w:rsidP="009479F4">
      <w:pPr>
        <w:pStyle w:val="Tabledesillustrations"/>
        <w:tabs>
          <w:tab w:val="right" w:leader="dot" w:pos="9628"/>
        </w:tabs>
        <w:spacing w:line="360" w:lineRule="auto"/>
        <w:ind w:left="1134" w:hanging="1134"/>
        <w:jc w:val="both"/>
        <w:rPr>
          <w:rFonts w:ascii="Times New Roman" w:eastAsiaTheme="minorEastAsia" w:hAnsi="Times New Roman" w:cs="Times New Roman"/>
          <w:noProof/>
          <w:lang w:eastAsia="fr-FR"/>
        </w:rPr>
      </w:pPr>
      <w:hyperlink w:anchor="_Toc516676462" w:history="1">
        <w:r w:rsidR="009479F4" w:rsidRPr="009479F4">
          <w:rPr>
            <w:rStyle w:val="Lienhypertexte"/>
            <w:rFonts w:ascii="Times New Roman" w:hAnsi="Times New Roman" w:cs="Times New Roman"/>
            <w:bCs/>
            <w:iCs/>
            <w:noProof/>
          </w:rPr>
          <w:t>Tableau 10. Répartition des chômeurs par principal moyen de recherche d’emploi (en %)</w:t>
        </w:r>
        <w:r w:rsidR="009479F4" w:rsidRPr="009479F4">
          <w:rPr>
            <w:rFonts w:ascii="Times New Roman" w:hAnsi="Times New Roman" w:cs="Times New Roman"/>
            <w:noProof/>
            <w:webHidden/>
          </w:rPr>
          <w:tab/>
        </w:r>
        <w:r w:rsidR="009479F4" w:rsidRPr="009479F4">
          <w:rPr>
            <w:rFonts w:ascii="Times New Roman" w:hAnsi="Times New Roman" w:cs="Times New Roman"/>
            <w:noProof/>
            <w:webHidden/>
          </w:rPr>
          <w:fldChar w:fldCharType="begin"/>
        </w:r>
        <w:r w:rsidR="009479F4" w:rsidRPr="009479F4">
          <w:rPr>
            <w:rFonts w:ascii="Times New Roman" w:hAnsi="Times New Roman" w:cs="Times New Roman"/>
            <w:noProof/>
            <w:webHidden/>
          </w:rPr>
          <w:instrText xml:space="preserve"> PAGEREF _Toc516676462 \h </w:instrText>
        </w:r>
        <w:r w:rsidR="009479F4" w:rsidRPr="009479F4">
          <w:rPr>
            <w:rFonts w:ascii="Times New Roman" w:hAnsi="Times New Roman" w:cs="Times New Roman"/>
            <w:noProof/>
            <w:webHidden/>
          </w:rPr>
        </w:r>
        <w:r w:rsidR="009479F4" w:rsidRPr="009479F4">
          <w:rPr>
            <w:rFonts w:ascii="Times New Roman" w:hAnsi="Times New Roman" w:cs="Times New Roman"/>
            <w:noProof/>
            <w:webHidden/>
          </w:rPr>
          <w:fldChar w:fldCharType="separate"/>
        </w:r>
        <w:r w:rsidR="009479F4" w:rsidRPr="009479F4">
          <w:rPr>
            <w:rFonts w:ascii="Times New Roman" w:hAnsi="Times New Roman" w:cs="Times New Roman"/>
            <w:noProof/>
            <w:webHidden/>
          </w:rPr>
          <w:t>14</w:t>
        </w:r>
        <w:r w:rsidR="009479F4" w:rsidRPr="009479F4">
          <w:rPr>
            <w:rFonts w:ascii="Times New Roman" w:hAnsi="Times New Roman" w:cs="Times New Roman"/>
            <w:noProof/>
            <w:webHidden/>
          </w:rPr>
          <w:fldChar w:fldCharType="end"/>
        </w:r>
      </w:hyperlink>
    </w:p>
    <w:p w:rsidR="009479F4" w:rsidRPr="009479F4" w:rsidRDefault="004A556B" w:rsidP="009479F4">
      <w:pPr>
        <w:pStyle w:val="Tabledesillustrations"/>
        <w:tabs>
          <w:tab w:val="right" w:leader="dot" w:pos="9628"/>
        </w:tabs>
        <w:spacing w:line="360" w:lineRule="auto"/>
        <w:ind w:left="1134" w:hanging="1134"/>
        <w:jc w:val="both"/>
        <w:rPr>
          <w:rFonts w:ascii="Times New Roman" w:eastAsiaTheme="minorEastAsia" w:hAnsi="Times New Roman" w:cs="Times New Roman"/>
          <w:noProof/>
          <w:lang w:eastAsia="fr-FR"/>
        </w:rPr>
      </w:pPr>
      <w:hyperlink w:anchor="_Toc516676463" w:history="1">
        <w:r w:rsidR="009479F4" w:rsidRPr="009479F4">
          <w:rPr>
            <w:rStyle w:val="Lienhypertexte"/>
            <w:rFonts w:ascii="Times New Roman" w:hAnsi="Times New Roman" w:cs="Times New Roman"/>
            <w:noProof/>
          </w:rPr>
          <w:t>Tableau 11. Répartition des chômeurs du Mali suivant le sexe, le type de chômeur et le type d'emploi recherché</w:t>
        </w:r>
        <w:r w:rsidR="009479F4" w:rsidRPr="009479F4">
          <w:rPr>
            <w:rFonts w:ascii="Times New Roman" w:hAnsi="Times New Roman" w:cs="Times New Roman"/>
            <w:noProof/>
            <w:webHidden/>
          </w:rPr>
          <w:tab/>
        </w:r>
        <w:r w:rsidR="009479F4" w:rsidRPr="009479F4">
          <w:rPr>
            <w:rFonts w:ascii="Times New Roman" w:hAnsi="Times New Roman" w:cs="Times New Roman"/>
            <w:noProof/>
            <w:webHidden/>
          </w:rPr>
          <w:fldChar w:fldCharType="begin"/>
        </w:r>
        <w:r w:rsidR="009479F4" w:rsidRPr="009479F4">
          <w:rPr>
            <w:rFonts w:ascii="Times New Roman" w:hAnsi="Times New Roman" w:cs="Times New Roman"/>
            <w:noProof/>
            <w:webHidden/>
          </w:rPr>
          <w:instrText xml:space="preserve"> PAGEREF _Toc516676463 \h </w:instrText>
        </w:r>
        <w:r w:rsidR="009479F4" w:rsidRPr="009479F4">
          <w:rPr>
            <w:rFonts w:ascii="Times New Roman" w:hAnsi="Times New Roman" w:cs="Times New Roman"/>
            <w:noProof/>
            <w:webHidden/>
          </w:rPr>
        </w:r>
        <w:r w:rsidR="009479F4" w:rsidRPr="009479F4">
          <w:rPr>
            <w:rFonts w:ascii="Times New Roman" w:hAnsi="Times New Roman" w:cs="Times New Roman"/>
            <w:noProof/>
            <w:webHidden/>
          </w:rPr>
          <w:fldChar w:fldCharType="separate"/>
        </w:r>
        <w:r w:rsidR="009479F4" w:rsidRPr="009479F4">
          <w:rPr>
            <w:rFonts w:ascii="Times New Roman" w:hAnsi="Times New Roman" w:cs="Times New Roman"/>
            <w:noProof/>
            <w:webHidden/>
          </w:rPr>
          <w:t>14</w:t>
        </w:r>
        <w:r w:rsidR="009479F4" w:rsidRPr="009479F4">
          <w:rPr>
            <w:rFonts w:ascii="Times New Roman" w:hAnsi="Times New Roman" w:cs="Times New Roman"/>
            <w:noProof/>
            <w:webHidden/>
          </w:rPr>
          <w:fldChar w:fldCharType="end"/>
        </w:r>
      </w:hyperlink>
    </w:p>
    <w:p w:rsidR="009479F4" w:rsidRPr="009479F4" w:rsidRDefault="004A556B" w:rsidP="009479F4">
      <w:pPr>
        <w:pStyle w:val="Tabledesillustrations"/>
        <w:tabs>
          <w:tab w:val="right" w:leader="dot" w:pos="9628"/>
        </w:tabs>
        <w:spacing w:line="360" w:lineRule="auto"/>
        <w:ind w:left="1134" w:hanging="1134"/>
        <w:jc w:val="both"/>
        <w:rPr>
          <w:rFonts w:ascii="Times New Roman" w:eastAsiaTheme="minorEastAsia" w:hAnsi="Times New Roman" w:cs="Times New Roman"/>
          <w:noProof/>
          <w:lang w:eastAsia="fr-FR"/>
        </w:rPr>
      </w:pPr>
      <w:hyperlink w:anchor="_Toc516676464" w:history="1">
        <w:r w:rsidR="009479F4" w:rsidRPr="009479F4">
          <w:rPr>
            <w:rStyle w:val="Lienhypertexte"/>
            <w:rFonts w:ascii="Times New Roman" w:hAnsi="Times New Roman" w:cs="Times New Roman"/>
            <w:noProof/>
          </w:rPr>
          <w:t>Tableau 12. Répartition des chômeurs du Mali suivant le sexe, le type de chômeur et le type d'employeur recherché</w:t>
        </w:r>
        <w:r w:rsidR="009479F4" w:rsidRPr="009479F4">
          <w:rPr>
            <w:rFonts w:ascii="Times New Roman" w:hAnsi="Times New Roman" w:cs="Times New Roman"/>
            <w:noProof/>
            <w:webHidden/>
          </w:rPr>
          <w:tab/>
        </w:r>
        <w:r w:rsidR="009479F4" w:rsidRPr="009479F4">
          <w:rPr>
            <w:rFonts w:ascii="Times New Roman" w:hAnsi="Times New Roman" w:cs="Times New Roman"/>
            <w:noProof/>
            <w:webHidden/>
          </w:rPr>
          <w:fldChar w:fldCharType="begin"/>
        </w:r>
        <w:r w:rsidR="009479F4" w:rsidRPr="009479F4">
          <w:rPr>
            <w:rFonts w:ascii="Times New Roman" w:hAnsi="Times New Roman" w:cs="Times New Roman"/>
            <w:noProof/>
            <w:webHidden/>
          </w:rPr>
          <w:instrText xml:space="preserve"> PAGEREF _Toc516676464 \h </w:instrText>
        </w:r>
        <w:r w:rsidR="009479F4" w:rsidRPr="009479F4">
          <w:rPr>
            <w:rFonts w:ascii="Times New Roman" w:hAnsi="Times New Roman" w:cs="Times New Roman"/>
            <w:noProof/>
            <w:webHidden/>
          </w:rPr>
        </w:r>
        <w:r w:rsidR="009479F4" w:rsidRPr="009479F4">
          <w:rPr>
            <w:rFonts w:ascii="Times New Roman" w:hAnsi="Times New Roman" w:cs="Times New Roman"/>
            <w:noProof/>
            <w:webHidden/>
          </w:rPr>
          <w:fldChar w:fldCharType="separate"/>
        </w:r>
        <w:r w:rsidR="009479F4" w:rsidRPr="009479F4">
          <w:rPr>
            <w:rFonts w:ascii="Times New Roman" w:hAnsi="Times New Roman" w:cs="Times New Roman"/>
            <w:noProof/>
            <w:webHidden/>
          </w:rPr>
          <w:t>15</w:t>
        </w:r>
        <w:r w:rsidR="009479F4" w:rsidRPr="009479F4">
          <w:rPr>
            <w:rFonts w:ascii="Times New Roman" w:hAnsi="Times New Roman" w:cs="Times New Roman"/>
            <w:noProof/>
            <w:webHidden/>
          </w:rPr>
          <w:fldChar w:fldCharType="end"/>
        </w:r>
      </w:hyperlink>
    </w:p>
    <w:p w:rsidR="009479F4" w:rsidRPr="009479F4" w:rsidRDefault="004A556B" w:rsidP="009479F4">
      <w:pPr>
        <w:pStyle w:val="Tabledesillustrations"/>
        <w:tabs>
          <w:tab w:val="right" w:leader="dot" w:pos="9628"/>
        </w:tabs>
        <w:spacing w:line="360" w:lineRule="auto"/>
        <w:ind w:left="1134" w:hanging="1134"/>
        <w:jc w:val="both"/>
        <w:rPr>
          <w:rFonts w:ascii="Times New Roman" w:eastAsiaTheme="minorEastAsia" w:hAnsi="Times New Roman" w:cs="Times New Roman"/>
          <w:noProof/>
          <w:lang w:eastAsia="fr-FR"/>
        </w:rPr>
      </w:pPr>
      <w:hyperlink w:anchor="_Toc516676465" w:history="1">
        <w:r w:rsidR="009479F4" w:rsidRPr="009479F4">
          <w:rPr>
            <w:rStyle w:val="Lienhypertexte"/>
            <w:rFonts w:ascii="Times New Roman" w:hAnsi="Times New Roman" w:cs="Times New Roman"/>
            <w:noProof/>
          </w:rPr>
          <w:t>Tableau 13. Proportion des chômeurs inscrits dans les bureaux de placement selon les caractéristiques sociodémographiques</w:t>
        </w:r>
        <w:r w:rsidR="009479F4" w:rsidRPr="009479F4">
          <w:rPr>
            <w:rFonts w:ascii="Times New Roman" w:hAnsi="Times New Roman" w:cs="Times New Roman"/>
            <w:noProof/>
            <w:webHidden/>
          </w:rPr>
          <w:tab/>
        </w:r>
        <w:r w:rsidR="009479F4" w:rsidRPr="009479F4">
          <w:rPr>
            <w:rFonts w:ascii="Times New Roman" w:hAnsi="Times New Roman" w:cs="Times New Roman"/>
            <w:noProof/>
            <w:webHidden/>
          </w:rPr>
          <w:fldChar w:fldCharType="begin"/>
        </w:r>
        <w:r w:rsidR="009479F4" w:rsidRPr="009479F4">
          <w:rPr>
            <w:rFonts w:ascii="Times New Roman" w:hAnsi="Times New Roman" w:cs="Times New Roman"/>
            <w:noProof/>
            <w:webHidden/>
          </w:rPr>
          <w:instrText xml:space="preserve"> PAGEREF _Toc516676465 \h </w:instrText>
        </w:r>
        <w:r w:rsidR="009479F4" w:rsidRPr="009479F4">
          <w:rPr>
            <w:rFonts w:ascii="Times New Roman" w:hAnsi="Times New Roman" w:cs="Times New Roman"/>
            <w:noProof/>
            <w:webHidden/>
          </w:rPr>
        </w:r>
        <w:r w:rsidR="009479F4" w:rsidRPr="009479F4">
          <w:rPr>
            <w:rFonts w:ascii="Times New Roman" w:hAnsi="Times New Roman" w:cs="Times New Roman"/>
            <w:noProof/>
            <w:webHidden/>
          </w:rPr>
          <w:fldChar w:fldCharType="separate"/>
        </w:r>
        <w:r w:rsidR="009479F4" w:rsidRPr="009479F4">
          <w:rPr>
            <w:rFonts w:ascii="Times New Roman" w:hAnsi="Times New Roman" w:cs="Times New Roman"/>
            <w:noProof/>
            <w:webHidden/>
          </w:rPr>
          <w:t>16</w:t>
        </w:r>
        <w:r w:rsidR="009479F4" w:rsidRPr="009479F4">
          <w:rPr>
            <w:rFonts w:ascii="Times New Roman" w:hAnsi="Times New Roman" w:cs="Times New Roman"/>
            <w:noProof/>
            <w:webHidden/>
          </w:rPr>
          <w:fldChar w:fldCharType="end"/>
        </w:r>
      </w:hyperlink>
    </w:p>
    <w:p w:rsidR="009479F4" w:rsidRPr="009479F4" w:rsidRDefault="004A556B" w:rsidP="009479F4">
      <w:pPr>
        <w:pStyle w:val="Tabledesillustrations"/>
        <w:tabs>
          <w:tab w:val="right" w:leader="dot" w:pos="9628"/>
        </w:tabs>
        <w:spacing w:line="360" w:lineRule="auto"/>
        <w:ind w:left="1134" w:hanging="1134"/>
        <w:jc w:val="both"/>
        <w:rPr>
          <w:rFonts w:ascii="Times New Roman" w:eastAsiaTheme="minorEastAsia" w:hAnsi="Times New Roman" w:cs="Times New Roman"/>
          <w:noProof/>
          <w:lang w:eastAsia="fr-FR"/>
        </w:rPr>
      </w:pPr>
      <w:hyperlink w:anchor="_Toc516676466" w:history="1">
        <w:r w:rsidR="009479F4" w:rsidRPr="009479F4">
          <w:rPr>
            <w:rStyle w:val="Lienhypertexte"/>
            <w:rFonts w:ascii="Times New Roman" w:hAnsi="Times New Roman" w:cs="Times New Roman"/>
            <w:bCs/>
            <w:iCs/>
            <w:noProof/>
          </w:rPr>
          <w:t>Tableau 14. Taux d’emploi, de chômage et d’inactivité entre jeunes et adulte (année 2017)</w:t>
        </w:r>
        <w:r w:rsidR="009479F4" w:rsidRPr="009479F4">
          <w:rPr>
            <w:rFonts w:ascii="Times New Roman" w:hAnsi="Times New Roman" w:cs="Times New Roman"/>
            <w:noProof/>
            <w:webHidden/>
          </w:rPr>
          <w:tab/>
        </w:r>
        <w:r w:rsidR="009479F4" w:rsidRPr="009479F4">
          <w:rPr>
            <w:rFonts w:ascii="Times New Roman" w:hAnsi="Times New Roman" w:cs="Times New Roman"/>
            <w:noProof/>
            <w:webHidden/>
          </w:rPr>
          <w:fldChar w:fldCharType="begin"/>
        </w:r>
        <w:r w:rsidR="009479F4" w:rsidRPr="009479F4">
          <w:rPr>
            <w:rFonts w:ascii="Times New Roman" w:hAnsi="Times New Roman" w:cs="Times New Roman"/>
            <w:noProof/>
            <w:webHidden/>
          </w:rPr>
          <w:instrText xml:space="preserve"> PAGEREF _Toc516676466 \h </w:instrText>
        </w:r>
        <w:r w:rsidR="009479F4" w:rsidRPr="009479F4">
          <w:rPr>
            <w:rFonts w:ascii="Times New Roman" w:hAnsi="Times New Roman" w:cs="Times New Roman"/>
            <w:noProof/>
            <w:webHidden/>
          </w:rPr>
        </w:r>
        <w:r w:rsidR="009479F4" w:rsidRPr="009479F4">
          <w:rPr>
            <w:rFonts w:ascii="Times New Roman" w:hAnsi="Times New Roman" w:cs="Times New Roman"/>
            <w:noProof/>
            <w:webHidden/>
          </w:rPr>
          <w:fldChar w:fldCharType="separate"/>
        </w:r>
        <w:r w:rsidR="009479F4" w:rsidRPr="009479F4">
          <w:rPr>
            <w:rFonts w:ascii="Times New Roman" w:hAnsi="Times New Roman" w:cs="Times New Roman"/>
            <w:noProof/>
            <w:webHidden/>
          </w:rPr>
          <w:t>17</w:t>
        </w:r>
        <w:r w:rsidR="009479F4" w:rsidRPr="009479F4">
          <w:rPr>
            <w:rFonts w:ascii="Times New Roman" w:hAnsi="Times New Roman" w:cs="Times New Roman"/>
            <w:noProof/>
            <w:webHidden/>
          </w:rPr>
          <w:fldChar w:fldCharType="end"/>
        </w:r>
      </w:hyperlink>
    </w:p>
    <w:p w:rsidR="009479F4" w:rsidRPr="009479F4" w:rsidRDefault="004A556B" w:rsidP="009479F4">
      <w:pPr>
        <w:pStyle w:val="Tabledesillustrations"/>
        <w:tabs>
          <w:tab w:val="right" w:leader="dot" w:pos="9628"/>
        </w:tabs>
        <w:spacing w:line="360" w:lineRule="auto"/>
        <w:ind w:left="1134" w:hanging="1134"/>
        <w:jc w:val="both"/>
        <w:rPr>
          <w:rFonts w:ascii="Times New Roman" w:eastAsiaTheme="minorEastAsia" w:hAnsi="Times New Roman" w:cs="Times New Roman"/>
          <w:noProof/>
          <w:lang w:eastAsia="fr-FR"/>
        </w:rPr>
      </w:pPr>
      <w:hyperlink w:anchor="_Toc516676467" w:history="1">
        <w:r w:rsidR="009479F4" w:rsidRPr="009479F4">
          <w:rPr>
            <w:rStyle w:val="Lienhypertexte"/>
            <w:rFonts w:ascii="Times New Roman" w:hAnsi="Times New Roman" w:cs="Times New Roman"/>
            <w:bCs/>
            <w:iCs/>
            <w:noProof/>
          </w:rPr>
          <w:t>Tableau 15. Structure de la population en âge de travailler entre jeunes et adultes (année 2017)</w:t>
        </w:r>
        <w:r w:rsidR="009479F4" w:rsidRPr="009479F4">
          <w:rPr>
            <w:rFonts w:ascii="Times New Roman" w:hAnsi="Times New Roman" w:cs="Times New Roman"/>
            <w:noProof/>
            <w:webHidden/>
          </w:rPr>
          <w:tab/>
        </w:r>
        <w:r w:rsidR="009479F4" w:rsidRPr="009479F4">
          <w:rPr>
            <w:rFonts w:ascii="Times New Roman" w:hAnsi="Times New Roman" w:cs="Times New Roman"/>
            <w:noProof/>
            <w:webHidden/>
          </w:rPr>
          <w:fldChar w:fldCharType="begin"/>
        </w:r>
        <w:r w:rsidR="009479F4" w:rsidRPr="009479F4">
          <w:rPr>
            <w:rFonts w:ascii="Times New Roman" w:hAnsi="Times New Roman" w:cs="Times New Roman"/>
            <w:noProof/>
            <w:webHidden/>
          </w:rPr>
          <w:instrText xml:space="preserve"> PAGEREF _Toc516676467 \h </w:instrText>
        </w:r>
        <w:r w:rsidR="009479F4" w:rsidRPr="009479F4">
          <w:rPr>
            <w:rFonts w:ascii="Times New Roman" w:hAnsi="Times New Roman" w:cs="Times New Roman"/>
            <w:noProof/>
            <w:webHidden/>
          </w:rPr>
        </w:r>
        <w:r w:rsidR="009479F4" w:rsidRPr="009479F4">
          <w:rPr>
            <w:rFonts w:ascii="Times New Roman" w:hAnsi="Times New Roman" w:cs="Times New Roman"/>
            <w:noProof/>
            <w:webHidden/>
          </w:rPr>
          <w:fldChar w:fldCharType="separate"/>
        </w:r>
        <w:r w:rsidR="009479F4" w:rsidRPr="009479F4">
          <w:rPr>
            <w:rFonts w:ascii="Times New Roman" w:hAnsi="Times New Roman" w:cs="Times New Roman"/>
            <w:noProof/>
            <w:webHidden/>
          </w:rPr>
          <w:t>18</w:t>
        </w:r>
        <w:r w:rsidR="009479F4" w:rsidRPr="009479F4">
          <w:rPr>
            <w:rFonts w:ascii="Times New Roman" w:hAnsi="Times New Roman" w:cs="Times New Roman"/>
            <w:noProof/>
            <w:webHidden/>
          </w:rPr>
          <w:fldChar w:fldCharType="end"/>
        </w:r>
      </w:hyperlink>
    </w:p>
    <w:p w:rsidR="00016BC6" w:rsidRPr="006973B5" w:rsidRDefault="006973B5" w:rsidP="009479F4">
      <w:pPr>
        <w:spacing w:after="0" w:line="360" w:lineRule="auto"/>
        <w:ind w:left="1134" w:hanging="1134"/>
        <w:jc w:val="both"/>
        <w:rPr>
          <w:rFonts w:ascii="Times New Roman" w:eastAsia="Times New Roman" w:hAnsi="Times New Roman" w:cs="Times New Roman"/>
          <w:color w:val="000000"/>
          <w:sz w:val="20"/>
          <w:szCs w:val="20"/>
          <w:lang w:eastAsia="fr-FR"/>
        </w:rPr>
      </w:pPr>
      <w:r w:rsidRPr="009479F4">
        <w:rPr>
          <w:rFonts w:ascii="Times New Roman" w:eastAsia="Times New Roman" w:hAnsi="Times New Roman" w:cs="Times New Roman"/>
          <w:color w:val="000000"/>
          <w:sz w:val="20"/>
          <w:szCs w:val="20"/>
          <w:lang w:eastAsia="fr-FR"/>
        </w:rPr>
        <w:fldChar w:fldCharType="end"/>
      </w:r>
    </w:p>
    <w:p w:rsidR="00016BC6" w:rsidRPr="006973B5" w:rsidRDefault="00016BC6" w:rsidP="007A0F56">
      <w:pPr>
        <w:spacing w:after="0"/>
        <w:rPr>
          <w:rFonts w:ascii="Times New Roman" w:eastAsia="Times New Roman" w:hAnsi="Times New Roman" w:cs="Times New Roman"/>
          <w:color w:val="000000"/>
          <w:sz w:val="20"/>
          <w:szCs w:val="20"/>
          <w:lang w:eastAsia="fr-FR"/>
        </w:rPr>
      </w:pPr>
    </w:p>
    <w:p w:rsidR="006973B5" w:rsidRPr="005F120E" w:rsidRDefault="006973B5" w:rsidP="005F120E">
      <w:pPr>
        <w:pStyle w:val="Titre1"/>
        <w:rPr>
          <w:rFonts w:ascii="Times New Roman" w:eastAsia="Times New Roman" w:hAnsi="Times New Roman" w:cs="Times New Roman"/>
          <w:b/>
          <w:color w:val="auto"/>
          <w:lang w:eastAsia="fr-FR"/>
        </w:rPr>
      </w:pPr>
      <w:bookmarkStart w:id="2" w:name="_Toc516676403"/>
      <w:r w:rsidRPr="005F120E">
        <w:rPr>
          <w:rFonts w:ascii="Times New Roman" w:eastAsia="Times New Roman" w:hAnsi="Times New Roman" w:cs="Times New Roman"/>
          <w:b/>
          <w:color w:val="auto"/>
          <w:lang w:eastAsia="fr-FR"/>
        </w:rPr>
        <w:t>Liste des figures</w:t>
      </w:r>
      <w:bookmarkEnd w:id="2"/>
    </w:p>
    <w:p w:rsidR="006973B5" w:rsidRPr="006973B5" w:rsidRDefault="006973B5" w:rsidP="006973B5">
      <w:pPr>
        <w:spacing w:after="0"/>
        <w:rPr>
          <w:rFonts w:ascii="Times New Roman" w:eastAsia="Times New Roman" w:hAnsi="Times New Roman" w:cs="Times New Roman"/>
          <w:b/>
          <w:color w:val="000000"/>
          <w:sz w:val="28"/>
          <w:szCs w:val="20"/>
          <w:lang w:eastAsia="fr-FR"/>
        </w:rPr>
      </w:pPr>
    </w:p>
    <w:p w:rsidR="006973B5" w:rsidRPr="006973B5" w:rsidRDefault="006973B5" w:rsidP="009479F4">
      <w:pPr>
        <w:pStyle w:val="Tabledesillustrations"/>
        <w:tabs>
          <w:tab w:val="right" w:leader="dot" w:pos="9628"/>
        </w:tabs>
        <w:spacing w:line="360" w:lineRule="auto"/>
        <w:rPr>
          <w:rFonts w:ascii="Times New Roman" w:eastAsiaTheme="minorEastAsia" w:hAnsi="Times New Roman" w:cs="Times New Roman"/>
          <w:noProof/>
          <w:lang w:eastAsia="fr-FR"/>
        </w:rPr>
      </w:pPr>
      <w:r w:rsidRPr="006973B5">
        <w:rPr>
          <w:rFonts w:ascii="Times New Roman" w:eastAsia="Times New Roman" w:hAnsi="Times New Roman" w:cs="Times New Roman"/>
          <w:color w:val="000000"/>
          <w:sz w:val="20"/>
          <w:szCs w:val="20"/>
          <w:lang w:eastAsia="fr-FR"/>
        </w:rPr>
        <w:fldChar w:fldCharType="begin"/>
      </w:r>
      <w:r w:rsidRPr="006973B5">
        <w:rPr>
          <w:rFonts w:ascii="Times New Roman" w:eastAsia="Times New Roman" w:hAnsi="Times New Roman" w:cs="Times New Roman"/>
          <w:color w:val="000000"/>
          <w:sz w:val="20"/>
          <w:szCs w:val="20"/>
          <w:lang w:eastAsia="fr-FR"/>
        </w:rPr>
        <w:instrText xml:space="preserve"> TOC \h \z \c "Figure" </w:instrText>
      </w:r>
      <w:r w:rsidRPr="006973B5">
        <w:rPr>
          <w:rFonts w:ascii="Times New Roman" w:eastAsia="Times New Roman" w:hAnsi="Times New Roman" w:cs="Times New Roman"/>
          <w:color w:val="000000"/>
          <w:sz w:val="20"/>
          <w:szCs w:val="20"/>
          <w:lang w:eastAsia="fr-FR"/>
        </w:rPr>
        <w:fldChar w:fldCharType="separate"/>
      </w:r>
      <w:hyperlink w:anchor="_Toc516674356" w:history="1">
        <w:r w:rsidRPr="006973B5">
          <w:rPr>
            <w:rStyle w:val="Lienhypertexte"/>
            <w:rFonts w:ascii="Times New Roman" w:hAnsi="Times New Roman" w:cs="Times New Roman"/>
            <w:noProof/>
          </w:rPr>
          <w:t>Figure 1. Evolution des principaux indicateurs de l'emploi des jeunes de 2013 à 2017</w:t>
        </w:r>
        <w:r w:rsidRPr="006973B5">
          <w:rPr>
            <w:rFonts w:ascii="Times New Roman" w:hAnsi="Times New Roman" w:cs="Times New Roman"/>
            <w:noProof/>
            <w:webHidden/>
          </w:rPr>
          <w:tab/>
        </w:r>
        <w:r w:rsidRPr="006973B5">
          <w:rPr>
            <w:rFonts w:ascii="Times New Roman" w:hAnsi="Times New Roman" w:cs="Times New Roman"/>
            <w:noProof/>
            <w:webHidden/>
          </w:rPr>
          <w:fldChar w:fldCharType="begin"/>
        </w:r>
        <w:r w:rsidRPr="006973B5">
          <w:rPr>
            <w:rFonts w:ascii="Times New Roman" w:hAnsi="Times New Roman" w:cs="Times New Roman"/>
            <w:noProof/>
            <w:webHidden/>
          </w:rPr>
          <w:instrText xml:space="preserve"> PAGEREF _Toc516674356 \h </w:instrText>
        </w:r>
        <w:r w:rsidRPr="006973B5">
          <w:rPr>
            <w:rFonts w:ascii="Times New Roman" w:hAnsi="Times New Roman" w:cs="Times New Roman"/>
            <w:noProof/>
            <w:webHidden/>
          </w:rPr>
        </w:r>
        <w:r w:rsidRPr="006973B5">
          <w:rPr>
            <w:rFonts w:ascii="Times New Roman" w:hAnsi="Times New Roman" w:cs="Times New Roman"/>
            <w:noProof/>
            <w:webHidden/>
          </w:rPr>
          <w:fldChar w:fldCharType="separate"/>
        </w:r>
        <w:r w:rsidR="009479F4">
          <w:rPr>
            <w:rFonts w:ascii="Times New Roman" w:hAnsi="Times New Roman" w:cs="Times New Roman"/>
            <w:noProof/>
            <w:webHidden/>
          </w:rPr>
          <w:t>5</w:t>
        </w:r>
        <w:r w:rsidRPr="006973B5">
          <w:rPr>
            <w:rFonts w:ascii="Times New Roman" w:hAnsi="Times New Roman" w:cs="Times New Roman"/>
            <w:noProof/>
            <w:webHidden/>
          </w:rPr>
          <w:fldChar w:fldCharType="end"/>
        </w:r>
      </w:hyperlink>
    </w:p>
    <w:p w:rsidR="006973B5" w:rsidRPr="006973B5" w:rsidRDefault="004A556B" w:rsidP="009479F4">
      <w:pPr>
        <w:pStyle w:val="Tabledesillustrations"/>
        <w:tabs>
          <w:tab w:val="right" w:leader="dot" w:pos="9628"/>
        </w:tabs>
        <w:spacing w:line="360" w:lineRule="auto"/>
        <w:rPr>
          <w:rFonts w:ascii="Times New Roman" w:eastAsiaTheme="minorEastAsia" w:hAnsi="Times New Roman" w:cs="Times New Roman"/>
          <w:noProof/>
          <w:lang w:eastAsia="fr-FR"/>
        </w:rPr>
      </w:pPr>
      <w:hyperlink w:anchor="_Toc516674357" w:history="1">
        <w:r w:rsidR="006973B5" w:rsidRPr="006973B5">
          <w:rPr>
            <w:rStyle w:val="Lienhypertexte"/>
            <w:rFonts w:ascii="Times New Roman" w:hAnsi="Times New Roman" w:cs="Times New Roman"/>
            <w:noProof/>
          </w:rPr>
          <w:t>Figure 2. Evolution de la population jeune en pourcentage de la population totale</w:t>
        </w:r>
        <w:r w:rsidR="006973B5" w:rsidRPr="006973B5">
          <w:rPr>
            <w:rFonts w:ascii="Times New Roman" w:hAnsi="Times New Roman" w:cs="Times New Roman"/>
            <w:noProof/>
            <w:webHidden/>
          </w:rPr>
          <w:tab/>
        </w:r>
        <w:r w:rsidR="006973B5" w:rsidRPr="006973B5">
          <w:rPr>
            <w:rFonts w:ascii="Times New Roman" w:hAnsi="Times New Roman" w:cs="Times New Roman"/>
            <w:noProof/>
            <w:webHidden/>
          </w:rPr>
          <w:fldChar w:fldCharType="begin"/>
        </w:r>
        <w:r w:rsidR="006973B5" w:rsidRPr="006973B5">
          <w:rPr>
            <w:rFonts w:ascii="Times New Roman" w:hAnsi="Times New Roman" w:cs="Times New Roman"/>
            <w:noProof/>
            <w:webHidden/>
          </w:rPr>
          <w:instrText xml:space="preserve"> PAGEREF _Toc516674357 \h </w:instrText>
        </w:r>
        <w:r w:rsidR="006973B5" w:rsidRPr="006973B5">
          <w:rPr>
            <w:rFonts w:ascii="Times New Roman" w:hAnsi="Times New Roman" w:cs="Times New Roman"/>
            <w:noProof/>
            <w:webHidden/>
          </w:rPr>
        </w:r>
        <w:r w:rsidR="006973B5" w:rsidRPr="006973B5">
          <w:rPr>
            <w:rFonts w:ascii="Times New Roman" w:hAnsi="Times New Roman" w:cs="Times New Roman"/>
            <w:noProof/>
            <w:webHidden/>
          </w:rPr>
          <w:fldChar w:fldCharType="separate"/>
        </w:r>
        <w:r w:rsidR="009479F4">
          <w:rPr>
            <w:rFonts w:ascii="Times New Roman" w:hAnsi="Times New Roman" w:cs="Times New Roman"/>
            <w:noProof/>
            <w:webHidden/>
          </w:rPr>
          <w:t>6</w:t>
        </w:r>
        <w:r w:rsidR="006973B5" w:rsidRPr="006973B5">
          <w:rPr>
            <w:rFonts w:ascii="Times New Roman" w:hAnsi="Times New Roman" w:cs="Times New Roman"/>
            <w:noProof/>
            <w:webHidden/>
          </w:rPr>
          <w:fldChar w:fldCharType="end"/>
        </w:r>
      </w:hyperlink>
    </w:p>
    <w:p w:rsidR="006973B5" w:rsidRPr="006973B5" w:rsidRDefault="004A556B" w:rsidP="009479F4">
      <w:pPr>
        <w:pStyle w:val="Tabledesillustrations"/>
        <w:tabs>
          <w:tab w:val="right" w:leader="dot" w:pos="9628"/>
        </w:tabs>
        <w:spacing w:line="360" w:lineRule="auto"/>
        <w:rPr>
          <w:rFonts w:ascii="Times New Roman" w:eastAsiaTheme="minorEastAsia" w:hAnsi="Times New Roman" w:cs="Times New Roman"/>
          <w:noProof/>
          <w:lang w:eastAsia="fr-FR"/>
        </w:rPr>
      </w:pPr>
      <w:hyperlink w:anchor="_Toc516674358" w:history="1">
        <w:r w:rsidR="006973B5" w:rsidRPr="006973B5">
          <w:rPr>
            <w:rStyle w:val="Lienhypertexte"/>
            <w:rFonts w:ascii="Times New Roman" w:hAnsi="Times New Roman" w:cs="Times New Roman"/>
            <w:noProof/>
          </w:rPr>
          <w:t>Figure 3.:Evolution des principaux indicateurs selon la zone de résidence</w:t>
        </w:r>
        <w:r w:rsidR="006973B5" w:rsidRPr="006973B5">
          <w:rPr>
            <w:rFonts w:ascii="Times New Roman" w:hAnsi="Times New Roman" w:cs="Times New Roman"/>
            <w:noProof/>
            <w:webHidden/>
          </w:rPr>
          <w:tab/>
        </w:r>
        <w:r w:rsidR="006973B5" w:rsidRPr="006973B5">
          <w:rPr>
            <w:rFonts w:ascii="Times New Roman" w:hAnsi="Times New Roman" w:cs="Times New Roman"/>
            <w:noProof/>
            <w:webHidden/>
          </w:rPr>
          <w:fldChar w:fldCharType="begin"/>
        </w:r>
        <w:r w:rsidR="006973B5" w:rsidRPr="006973B5">
          <w:rPr>
            <w:rFonts w:ascii="Times New Roman" w:hAnsi="Times New Roman" w:cs="Times New Roman"/>
            <w:noProof/>
            <w:webHidden/>
          </w:rPr>
          <w:instrText xml:space="preserve"> PAGEREF _Toc516674358 \h </w:instrText>
        </w:r>
        <w:r w:rsidR="006973B5" w:rsidRPr="006973B5">
          <w:rPr>
            <w:rFonts w:ascii="Times New Roman" w:hAnsi="Times New Roman" w:cs="Times New Roman"/>
            <w:noProof/>
            <w:webHidden/>
          </w:rPr>
        </w:r>
        <w:r w:rsidR="006973B5" w:rsidRPr="006973B5">
          <w:rPr>
            <w:rFonts w:ascii="Times New Roman" w:hAnsi="Times New Roman" w:cs="Times New Roman"/>
            <w:noProof/>
            <w:webHidden/>
          </w:rPr>
          <w:fldChar w:fldCharType="separate"/>
        </w:r>
        <w:r w:rsidR="009479F4">
          <w:rPr>
            <w:rFonts w:ascii="Times New Roman" w:hAnsi="Times New Roman" w:cs="Times New Roman"/>
            <w:noProof/>
            <w:webHidden/>
          </w:rPr>
          <w:t>7</w:t>
        </w:r>
        <w:r w:rsidR="006973B5" w:rsidRPr="006973B5">
          <w:rPr>
            <w:rFonts w:ascii="Times New Roman" w:hAnsi="Times New Roman" w:cs="Times New Roman"/>
            <w:noProof/>
            <w:webHidden/>
          </w:rPr>
          <w:fldChar w:fldCharType="end"/>
        </w:r>
      </w:hyperlink>
    </w:p>
    <w:p w:rsidR="00ED5D45" w:rsidRPr="006973B5" w:rsidRDefault="006973B5" w:rsidP="009479F4">
      <w:pPr>
        <w:spacing w:after="0" w:line="360" w:lineRule="auto"/>
        <w:jc w:val="both"/>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fldChar w:fldCharType="end"/>
      </w:r>
    </w:p>
    <w:p w:rsidR="00ED5D45" w:rsidRPr="006973B5" w:rsidRDefault="00ED5D45" w:rsidP="007A0F56">
      <w:pPr>
        <w:spacing w:after="0"/>
        <w:jc w:val="both"/>
        <w:rPr>
          <w:rFonts w:ascii="Times New Roman" w:eastAsia="Times New Roman" w:hAnsi="Times New Roman" w:cs="Times New Roman"/>
          <w:color w:val="000000"/>
          <w:sz w:val="20"/>
          <w:szCs w:val="20"/>
          <w:lang w:eastAsia="fr-FR"/>
        </w:rPr>
      </w:pPr>
    </w:p>
    <w:p w:rsidR="00ED5D45" w:rsidRPr="006973B5" w:rsidRDefault="00ED5D45" w:rsidP="007A0F56">
      <w:pPr>
        <w:spacing w:after="0"/>
        <w:jc w:val="both"/>
        <w:rPr>
          <w:rFonts w:ascii="Times New Roman" w:eastAsia="Times New Roman" w:hAnsi="Times New Roman" w:cs="Times New Roman"/>
          <w:color w:val="000000"/>
          <w:sz w:val="20"/>
          <w:szCs w:val="20"/>
          <w:lang w:eastAsia="fr-FR"/>
        </w:rPr>
      </w:pPr>
    </w:p>
    <w:p w:rsidR="00ED5D45" w:rsidRPr="006973B5" w:rsidRDefault="00ED5D45" w:rsidP="007A0F56">
      <w:pPr>
        <w:spacing w:after="0"/>
        <w:jc w:val="both"/>
        <w:rPr>
          <w:rFonts w:ascii="Times New Roman" w:eastAsia="Times New Roman" w:hAnsi="Times New Roman" w:cs="Times New Roman"/>
          <w:color w:val="000000"/>
          <w:sz w:val="20"/>
          <w:szCs w:val="20"/>
          <w:lang w:eastAsia="fr-FR"/>
        </w:rPr>
      </w:pPr>
    </w:p>
    <w:p w:rsidR="00ED5D45" w:rsidRPr="006973B5" w:rsidRDefault="00ED5D45" w:rsidP="007A0F56">
      <w:pPr>
        <w:spacing w:after="0"/>
        <w:jc w:val="both"/>
        <w:rPr>
          <w:rFonts w:ascii="Times New Roman" w:eastAsia="Times New Roman" w:hAnsi="Times New Roman" w:cs="Times New Roman"/>
          <w:color w:val="000000"/>
          <w:sz w:val="20"/>
          <w:szCs w:val="20"/>
          <w:lang w:eastAsia="fr-FR"/>
        </w:rPr>
      </w:pPr>
    </w:p>
    <w:p w:rsidR="00ED5D45" w:rsidRPr="006973B5" w:rsidRDefault="00ED5D45" w:rsidP="007A0F56">
      <w:pPr>
        <w:spacing w:after="0"/>
        <w:jc w:val="both"/>
        <w:rPr>
          <w:rFonts w:ascii="Times New Roman" w:eastAsia="Times New Roman" w:hAnsi="Times New Roman" w:cs="Times New Roman"/>
          <w:color w:val="000000"/>
          <w:sz w:val="20"/>
          <w:szCs w:val="20"/>
          <w:lang w:eastAsia="fr-FR"/>
        </w:rPr>
      </w:pPr>
    </w:p>
    <w:p w:rsidR="00ED5D45" w:rsidRPr="006973B5" w:rsidRDefault="00ED5D45" w:rsidP="007A0F56">
      <w:pPr>
        <w:spacing w:after="0"/>
        <w:jc w:val="both"/>
        <w:rPr>
          <w:rFonts w:ascii="Times New Roman" w:eastAsia="Times New Roman" w:hAnsi="Times New Roman" w:cs="Times New Roman"/>
          <w:color w:val="000000"/>
          <w:sz w:val="20"/>
          <w:szCs w:val="20"/>
          <w:lang w:eastAsia="fr-FR"/>
        </w:rPr>
      </w:pPr>
    </w:p>
    <w:p w:rsidR="00ED5D45" w:rsidRPr="006973B5" w:rsidRDefault="00ED5D45" w:rsidP="007A0F56">
      <w:pPr>
        <w:spacing w:after="0"/>
        <w:jc w:val="both"/>
        <w:rPr>
          <w:rFonts w:ascii="Times New Roman" w:eastAsia="Times New Roman" w:hAnsi="Times New Roman" w:cs="Times New Roman"/>
          <w:color w:val="000000"/>
          <w:sz w:val="20"/>
          <w:szCs w:val="20"/>
          <w:lang w:eastAsia="fr-FR"/>
        </w:rPr>
      </w:pPr>
    </w:p>
    <w:p w:rsidR="00ED5D45" w:rsidRPr="006973B5" w:rsidRDefault="00ED5D45" w:rsidP="007A0F56">
      <w:pPr>
        <w:spacing w:after="0"/>
        <w:jc w:val="both"/>
        <w:rPr>
          <w:rFonts w:ascii="Times New Roman" w:eastAsia="Times New Roman" w:hAnsi="Times New Roman" w:cs="Times New Roman"/>
          <w:color w:val="000000"/>
          <w:sz w:val="20"/>
          <w:szCs w:val="20"/>
          <w:lang w:eastAsia="fr-FR"/>
        </w:rPr>
      </w:pPr>
    </w:p>
    <w:p w:rsidR="00ED5D45" w:rsidRPr="006973B5" w:rsidRDefault="00ED5D45" w:rsidP="007A0F56">
      <w:pPr>
        <w:spacing w:after="0"/>
        <w:jc w:val="both"/>
        <w:rPr>
          <w:rFonts w:ascii="Times New Roman" w:eastAsia="Times New Roman" w:hAnsi="Times New Roman" w:cs="Times New Roman"/>
          <w:color w:val="000000"/>
          <w:sz w:val="20"/>
          <w:szCs w:val="20"/>
          <w:lang w:eastAsia="fr-FR"/>
        </w:rPr>
      </w:pPr>
    </w:p>
    <w:p w:rsidR="00ED5D45" w:rsidRPr="006973B5" w:rsidRDefault="00ED5D45" w:rsidP="007A0F56">
      <w:pPr>
        <w:spacing w:after="0"/>
        <w:jc w:val="both"/>
        <w:rPr>
          <w:rFonts w:ascii="Times New Roman" w:eastAsia="Times New Roman" w:hAnsi="Times New Roman" w:cs="Times New Roman"/>
          <w:color w:val="000000"/>
          <w:sz w:val="20"/>
          <w:szCs w:val="20"/>
          <w:lang w:eastAsia="fr-FR"/>
        </w:rPr>
      </w:pPr>
    </w:p>
    <w:p w:rsidR="00ED5D45" w:rsidRPr="006973B5" w:rsidRDefault="00ED5D45" w:rsidP="007A0F56">
      <w:pPr>
        <w:spacing w:after="0"/>
        <w:jc w:val="both"/>
        <w:rPr>
          <w:rFonts w:ascii="Times New Roman" w:eastAsia="Times New Roman" w:hAnsi="Times New Roman" w:cs="Times New Roman"/>
          <w:color w:val="000000"/>
          <w:sz w:val="20"/>
          <w:szCs w:val="20"/>
          <w:lang w:eastAsia="fr-FR"/>
        </w:rPr>
      </w:pPr>
    </w:p>
    <w:p w:rsidR="00ED5D45" w:rsidRPr="006973B5" w:rsidRDefault="00ED5D45" w:rsidP="007A0F56">
      <w:pPr>
        <w:spacing w:after="0"/>
        <w:jc w:val="both"/>
        <w:rPr>
          <w:rFonts w:ascii="Times New Roman" w:eastAsia="Times New Roman" w:hAnsi="Times New Roman" w:cs="Times New Roman"/>
          <w:color w:val="000000"/>
          <w:sz w:val="20"/>
          <w:szCs w:val="20"/>
          <w:lang w:eastAsia="fr-FR"/>
        </w:rPr>
      </w:pPr>
    </w:p>
    <w:p w:rsidR="00ED5D45" w:rsidRPr="006973B5" w:rsidRDefault="00ED5D45" w:rsidP="007A0F56">
      <w:pPr>
        <w:spacing w:after="0"/>
        <w:jc w:val="both"/>
        <w:rPr>
          <w:rFonts w:ascii="Times New Roman" w:eastAsia="Times New Roman" w:hAnsi="Times New Roman" w:cs="Times New Roman"/>
          <w:color w:val="000000"/>
          <w:sz w:val="20"/>
          <w:szCs w:val="20"/>
          <w:lang w:eastAsia="fr-FR"/>
        </w:rPr>
      </w:pPr>
    </w:p>
    <w:p w:rsidR="00ED5D45" w:rsidRPr="006973B5" w:rsidRDefault="00ED5D45" w:rsidP="007A0F56">
      <w:pPr>
        <w:spacing w:after="0"/>
        <w:jc w:val="both"/>
        <w:rPr>
          <w:rFonts w:ascii="Times New Roman" w:eastAsia="Times New Roman" w:hAnsi="Times New Roman" w:cs="Times New Roman"/>
          <w:color w:val="000000"/>
          <w:sz w:val="20"/>
          <w:szCs w:val="20"/>
          <w:lang w:eastAsia="fr-FR"/>
        </w:rPr>
      </w:pPr>
    </w:p>
    <w:p w:rsidR="00016BC6" w:rsidRPr="005F120E" w:rsidRDefault="005F120E" w:rsidP="005F120E">
      <w:pPr>
        <w:pStyle w:val="Titre1"/>
        <w:rPr>
          <w:rFonts w:ascii="Times New Roman" w:eastAsia="Times New Roman" w:hAnsi="Times New Roman" w:cs="Times New Roman"/>
          <w:b/>
          <w:color w:val="auto"/>
          <w:lang w:eastAsia="fr-FR"/>
        </w:rPr>
      </w:pPr>
      <w:bookmarkStart w:id="3" w:name="_Toc516676404"/>
      <w:r w:rsidRPr="005F120E">
        <w:rPr>
          <w:rFonts w:ascii="Times New Roman" w:eastAsia="Times New Roman" w:hAnsi="Times New Roman" w:cs="Times New Roman"/>
          <w:b/>
          <w:color w:val="auto"/>
          <w:lang w:eastAsia="fr-FR"/>
        </w:rPr>
        <w:lastRenderedPageBreak/>
        <w:t>Sigles et abréviations</w:t>
      </w:r>
      <w:bookmarkEnd w:id="3"/>
    </w:p>
    <w:p w:rsidR="00B92179" w:rsidRPr="006973B5" w:rsidRDefault="00B92179" w:rsidP="00B92179">
      <w:pPr>
        <w:spacing w:after="0"/>
        <w:jc w:val="both"/>
        <w:rPr>
          <w:rFonts w:ascii="Times New Roman" w:eastAsia="Times New Roman" w:hAnsi="Times New Roman" w:cs="Times New Roman"/>
          <w:color w:val="000000"/>
          <w:sz w:val="20"/>
          <w:szCs w:val="20"/>
          <w:lang w:eastAsia="fr-FR"/>
        </w:rPr>
      </w:pPr>
    </w:p>
    <w:tbl>
      <w:tblPr>
        <w:tblStyle w:val="Grilledutableau"/>
        <w:tblW w:w="0" w:type="auto"/>
        <w:tblLook w:val="04A0" w:firstRow="1" w:lastRow="0" w:firstColumn="1" w:lastColumn="0" w:noHBand="0" w:noVBand="1"/>
      </w:tblPr>
      <w:tblGrid>
        <w:gridCol w:w="1177"/>
        <w:gridCol w:w="8451"/>
      </w:tblGrid>
      <w:tr w:rsidR="00B92179" w:rsidRPr="00EA310F" w:rsidTr="00B92179">
        <w:tc>
          <w:tcPr>
            <w:tcW w:w="1177" w:type="dxa"/>
          </w:tcPr>
          <w:p w:rsidR="00B92179" w:rsidRPr="00EA310F" w:rsidRDefault="00B92179" w:rsidP="009E608F">
            <w:pPr>
              <w:jc w:val="both"/>
              <w:rPr>
                <w:rFonts w:ascii="Times New Roman" w:eastAsia="Times New Roman" w:hAnsi="Times New Roman" w:cs="Times New Roman"/>
                <w:color w:val="000000"/>
                <w:sz w:val="24"/>
                <w:szCs w:val="24"/>
                <w:lang w:eastAsia="fr-FR"/>
              </w:rPr>
            </w:pPr>
            <w:r w:rsidRPr="00EA310F">
              <w:rPr>
                <w:rFonts w:ascii="Times New Roman" w:hAnsi="Times New Roman" w:cs="Times New Roman"/>
                <w:sz w:val="24"/>
                <w:szCs w:val="24"/>
              </w:rPr>
              <w:t>ANPE</w:t>
            </w:r>
          </w:p>
        </w:tc>
        <w:tc>
          <w:tcPr>
            <w:tcW w:w="8451" w:type="dxa"/>
          </w:tcPr>
          <w:p w:rsidR="00B92179" w:rsidRPr="00EA310F" w:rsidRDefault="00B92179" w:rsidP="009E608F">
            <w:pPr>
              <w:jc w:val="both"/>
              <w:rPr>
                <w:rFonts w:ascii="Times New Roman" w:eastAsia="Times New Roman" w:hAnsi="Times New Roman" w:cs="Times New Roman"/>
                <w:color w:val="000000"/>
                <w:sz w:val="24"/>
                <w:szCs w:val="24"/>
                <w:lang w:eastAsia="fr-FR"/>
              </w:rPr>
            </w:pPr>
            <w:r w:rsidRPr="00EA310F">
              <w:rPr>
                <w:rFonts w:ascii="Times New Roman" w:hAnsi="Times New Roman" w:cs="Times New Roman"/>
                <w:sz w:val="24"/>
                <w:szCs w:val="24"/>
              </w:rPr>
              <w:t>Agence nationale pour l’emploi</w:t>
            </w:r>
          </w:p>
        </w:tc>
      </w:tr>
      <w:tr w:rsidR="00B92179" w:rsidRPr="00EA310F" w:rsidTr="00B92179">
        <w:tc>
          <w:tcPr>
            <w:tcW w:w="1177" w:type="dxa"/>
          </w:tcPr>
          <w:p w:rsidR="00B92179" w:rsidRPr="00EA310F" w:rsidRDefault="00B92179" w:rsidP="009E608F">
            <w:pPr>
              <w:jc w:val="both"/>
              <w:rPr>
                <w:rFonts w:ascii="Times New Roman" w:eastAsia="Times New Roman" w:hAnsi="Times New Roman" w:cs="Times New Roman"/>
                <w:color w:val="000000"/>
                <w:sz w:val="24"/>
                <w:szCs w:val="24"/>
                <w:lang w:eastAsia="fr-FR"/>
              </w:rPr>
            </w:pPr>
            <w:r w:rsidRPr="00EA310F">
              <w:rPr>
                <w:rFonts w:ascii="Times New Roman" w:hAnsi="Times New Roman" w:cs="Times New Roman"/>
                <w:sz w:val="24"/>
                <w:szCs w:val="24"/>
              </w:rPr>
              <w:t>APEJ</w:t>
            </w:r>
          </w:p>
        </w:tc>
        <w:tc>
          <w:tcPr>
            <w:tcW w:w="8451" w:type="dxa"/>
          </w:tcPr>
          <w:p w:rsidR="00B92179" w:rsidRPr="00EA310F" w:rsidRDefault="00B92179" w:rsidP="009E608F">
            <w:pPr>
              <w:jc w:val="both"/>
              <w:rPr>
                <w:rFonts w:ascii="Times New Roman" w:eastAsia="Times New Roman" w:hAnsi="Times New Roman" w:cs="Times New Roman"/>
                <w:color w:val="000000"/>
                <w:sz w:val="24"/>
                <w:szCs w:val="24"/>
                <w:lang w:eastAsia="fr-FR"/>
              </w:rPr>
            </w:pPr>
            <w:r w:rsidRPr="00EA310F">
              <w:rPr>
                <w:rFonts w:ascii="Times New Roman" w:hAnsi="Times New Roman" w:cs="Times New Roman"/>
                <w:sz w:val="24"/>
                <w:szCs w:val="24"/>
              </w:rPr>
              <w:t>Agence de Promotion de l’emploi jeunesse</w:t>
            </w:r>
          </w:p>
        </w:tc>
      </w:tr>
      <w:tr w:rsidR="00B92179" w:rsidRPr="00EA310F" w:rsidTr="00B92179">
        <w:tc>
          <w:tcPr>
            <w:tcW w:w="1177" w:type="dxa"/>
          </w:tcPr>
          <w:p w:rsidR="00B92179" w:rsidRPr="00EA310F" w:rsidRDefault="00B92179" w:rsidP="009E608F">
            <w:pPr>
              <w:jc w:val="both"/>
              <w:rPr>
                <w:rFonts w:ascii="Times New Roman" w:eastAsia="Times New Roman" w:hAnsi="Times New Roman" w:cs="Times New Roman"/>
                <w:color w:val="000000"/>
                <w:sz w:val="24"/>
                <w:szCs w:val="24"/>
                <w:lang w:eastAsia="fr-FR"/>
              </w:rPr>
            </w:pPr>
            <w:r w:rsidRPr="00EA310F">
              <w:rPr>
                <w:rFonts w:ascii="Times New Roman" w:hAnsi="Times New Roman" w:cs="Times New Roman"/>
                <w:sz w:val="24"/>
                <w:szCs w:val="24"/>
              </w:rPr>
              <w:t>CSCRP</w:t>
            </w:r>
          </w:p>
        </w:tc>
        <w:tc>
          <w:tcPr>
            <w:tcW w:w="8451" w:type="dxa"/>
          </w:tcPr>
          <w:p w:rsidR="00B92179" w:rsidRPr="00EA310F" w:rsidRDefault="00B92179" w:rsidP="009E608F">
            <w:pPr>
              <w:rPr>
                <w:rFonts w:ascii="Times New Roman" w:eastAsia="Times New Roman" w:hAnsi="Times New Roman" w:cs="Times New Roman"/>
                <w:color w:val="000000"/>
                <w:sz w:val="24"/>
                <w:szCs w:val="24"/>
                <w:lang w:eastAsia="fr-FR"/>
              </w:rPr>
            </w:pPr>
            <w:r w:rsidRPr="00EA310F">
              <w:rPr>
                <w:rFonts w:ascii="Times New Roman" w:hAnsi="Times New Roman" w:cs="Times New Roman"/>
                <w:sz w:val="24"/>
                <w:szCs w:val="24"/>
              </w:rPr>
              <w:t xml:space="preserve">Cadre Stratégique pour la Croissance et la Réduction de la Pauvreté </w:t>
            </w:r>
          </w:p>
        </w:tc>
      </w:tr>
      <w:tr w:rsidR="00B92179" w:rsidRPr="00EA310F" w:rsidTr="00B92179">
        <w:tc>
          <w:tcPr>
            <w:tcW w:w="1177" w:type="dxa"/>
          </w:tcPr>
          <w:p w:rsidR="00B92179" w:rsidRPr="00EA310F" w:rsidRDefault="00B92179" w:rsidP="009E608F">
            <w:pPr>
              <w:jc w:val="both"/>
              <w:rPr>
                <w:rFonts w:ascii="Times New Roman" w:eastAsia="Times New Roman" w:hAnsi="Times New Roman" w:cs="Times New Roman"/>
                <w:color w:val="000000"/>
                <w:sz w:val="24"/>
                <w:szCs w:val="24"/>
                <w:lang w:eastAsia="fr-FR"/>
              </w:rPr>
            </w:pPr>
            <w:r w:rsidRPr="00EA310F">
              <w:rPr>
                <w:rFonts w:ascii="Times New Roman" w:hAnsi="Times New Roman" w:cs="Times New Roman"/>
                <w:sz w:val="24"/>
                <w:szCs w:val="24"/>
              </w:rPr>
              <w:t>CREED</w:t>
            </w:r>
          </w:p>
        </w:tc>
        <w:tc>
          <w:tcPr>
            <w:tcW w:w="8451" w:type="dxa"/>
          </w:tcPr>
          <w:p w:rsidR="00B92179" w:rsidRPr="00EA310F" w:rsidRDefault="00B92179" w:rsidP="009E608F">
            <w:pPr>
              <w:jc w:val="both"/>
              <w:rPr>
                <w:rFonts w:ascii="Times New Roman" w:eastAsia="Times New Roman" w:hAnsi="Times New Roman" w:cs="Times New Roman"/>
                <w:color w:val="000000"/>
                <w:sz w:val="24"/>
                <w:szCs w:val="24"/>
                <w:lang w:eastAsia="fr-FR"/>
              </w:rPr>
            </w:pPr>
            <w:r w:rsidRPr="00EA310F">
              <w:rPr>
                <w:rFonts w:ascii="Times New Roman" w:hAnsi="Times New Roman" w:cs="Times New Roman"/>
                <w:sz w:val="24"/>
                <w:szCs w:val="24"/>
              </w:rPr>
              <w:t xml:space="preserve">stratégique pour la relance économique et le développement durable </w:t>
            </w:r>
          </w:p>
        </w:tc>
      </w:tr>
      <w:tr w:rsidR="00B92179" w:rsidRPr="00EA310F" w:rsidTr="00B92179">
        <w:tc>
          <w:tcPr>
            <w:tcW w:w="1177" w:type="dxa"/>
          </w:tcPr>
          <w:p w:rsidR="00B92179" w:rsidRPr="00EA310F" w:rsidRDefault="00B92179" w:rsidP="009E608F">
            <w:pPr>
              <w:jc w:val="both"/>
              <w:rPr>
                <w:rFonts w:ascii="Times New Roman" w:hAnsi="Times New Roman" w:cs="Times New Roman"/>
                <w:sz w:val="24"/>
                <w:szCs w:val="24"/>
              </w:rPr>
            </w:pPr>
            <w:r w:rsidRPr="00EA310F">
              <w:rPr>
                <w:rFonts w:ascii="Times New Roman" w:hAnsi="Times New Roman" w:cs="Times New Roman"/>
                <w:sz w:val="24"/>
                <w:szCs w:val="24"/>
              </w:rPr>
              <w:t>CSPro</w:t>
            </w:r>
          </w:p>
        </w:tc>
        <w:tc>
          <w:tcPr>
            <w:tcW w:w="8451" w:type="dxa"/>
          </w:tcPr>
          <w:p w:rsidR="00B92179" w:rsidRPr="00EA310F" w:rsidRDefault="00B92179" w:rsidP="009E608F">
            <w:pPr>
              <w:jc w:val="both"/>
              <w:rPr>
                <w:rFonts w:ascii="Times New Roman" w:hAnsi="Times New Roman" w:cs="Times New Roman"/>
                <w:sz w:val="24"/>
                <w:szCs w:val="24"/>
              </w:rPr>
            </w:pPr>
            <w:r w:rsidRPr="00FD50A9">
              <w:rPr>
                <w:rFonts w:ascii="Times New Roman" w:hAnsi="Times New Roman" w:cs="Times New Roman"/>
                <w:sz w:val="24"/>
                <w:szCs w:val="24"/>
              </w:rPr>
              <w:t>Census and Survey Processing System</w:t>
            </w:r>
          </w:p>
        </w:tc>
      </w:tr>
      <w:tr w:rsidR="00B92179" w:rsidRPr="00EA310F" w:rsidTr="00B92179">
        <w:tc>
          <w:tcPr>
            <w:tcW w:w="1177" w:type="dxa"/>
          </w:tcPr>
          <w:p w:rsidR="00B92179" w:rsidRPr="00EA310F" w:rsidRDefault="00B92179" w:rsidP="009E608F">
            <w:pPr>
              <w:jc w:val="both"/>
              <w:rPr>
                <w:rFonts w:ascii="Times New Roman" w:hAnsi="Times New Roman" w:cs="Times New Roman"/>
                <w:sz w:val="24"/>
                <w:szCs w:val="24"/>
              </w:rPr>
            </w:pPr>
            <w:r w:rsidRPr="00EA310F">
              <w:rPr>
                <w:rFonts w:ascii="Times New Roman" w:hAnsi="Times New Roman" w:cs="Times New Roman"/>
                <w:sz w:val="24"/>
                <w:szCs w:val="24"/>
              </w:rPr>
              <w:t>EEP</w:t>
            </w:r>
          </w:p>
        </w:tc>
        <w:tc>
          <w:tcPr>
            <w:tcW w:w="8451" w:type="dxa"/>
          </w:tcPr>
          <w:p w:rsidR="00B92179" w:rsidRPr="00EA310F" w:rsidRDefault="00B92179" w:rsidP="009E608F">
            <w:pPr>
              <w:jc w:val="both"/>
              <w:rPr>
                <w:rFonts w:ascii="Times New Roman" w:hAnsi="Times New Roman" w:cs="Times New Roman"/>
                <w:sz w:val="24"/>
                <w:szCs w:val="24"/>
              </w:rPr>
            </w:pPr>
            <w:r w:rsidRPr="00EA310F">
              <w:rPr>
                <w:rFonts w:ascii="Times New Roman" w:hAnsi="Times New Roman" w:cs="Times New Roman"/>
                <w:sz w:val="24"/>
                <w:szCs w:val="24"/>
              </w:rPr>
              <w:t>Espaces Economiques Partagés</w:t>
            </w:r>
          </w:p>
        </w:tc>
      </w:tr>
      <w:tr w:rsidR="00B92179" w:rsidRPr="00EA310F" w:rsidTr="00B92179">
        <w:tc>
          <w:tcPr>
            <w:tcW w:w="1177" w:type="dxa"/>
          </w:tcPr>
          <w:p w:rsidR="00B92179" w:rsidRPr="00EA310F" w:rsidRDefault="00B92179" w:rsidP="009E608F">
            <w:pPr>
              <w:jc w:val="both"/>
              <w:rPr>
                <w:rFonts w:ascii="Times New Roman" w:hAnsi="Times New Roman" w:cs="Times New Roman"/>
                <w:sz w:val="24"/>
                <w:szCs w:val="24"/>
              </w:rPr>
            </w:pPr>
            <w:r w:rsidRPr="00EA310F">
              <w:rPr>
                <w:rFonts w:ascii="Times New Roman" w:hAnsi="Times New Roman" w:cs="Times New Roman"/>
                <w:sz w:val="24"/>
                <w:szCs w:val="24"/>
              </w:rPr>
              <w:t>EMOP</w:t>
            </w:r>
          </w:p>
        </w:tc>
        <w:tc>
          <w:tcPr>
            <w:tcW w:w="8451" w:type="dxa"/>
          </w:tcPr>
          <w:p w:rsidR="00B92179" w:rsidRPr="00EA310F" w:rsidRDefault="00B92179" w:rsidP="009E608F">
            <w:pPr>
              <w:jc w:val="both"/>
              <w:rPr>
                <w:rFonts w:ascii="Times New Roman" w:hAnsi="Times New Roman" w:cs="Times New Roman"/>
                <w:sz w:val="24"/>
                <w:szCs w:val="24"/>
              </w:rPr>
            </w:pPr>
            <w:r w:rsidRPr="00EA310F">
              <w:rPr>
                <w:rFonts w:ascii="Times New Roman" w:hAnsi="Times New Roman" w:cs="Times New Roman"/>
                <w:sz w:val="24"/>
                <w:szCs w:val="24"/>
              </w:rPr>
              <w:t>Enquête Modulaire et Permanente auprès des Ménages</w:t>
            </w:r>
          </w:p>
        </w:tc>
      </w:tr>
      <w:tr w:rsidR="00B92179" w:rsidRPr="00EA310F" w:rsidTr="00B92179">
        <w:tc>
          <w:tcPr>
            <w:tcW w:w="1177" w:type="dxa"/>
          </w:tcPr>
          <w:p w:rsidR="00B92179" w:rsidRPr="00EA310F" w:rsidRDefault="00B92179" w:rsidP="009E608F">
            <w:pPr>
              <w:jc w:val="both"/>
              <w:rPr>
                <w:rFonts w:ascii="Times New Roman" w:hAnsi="Times New Roman" w:cs="Times New Roman"/>
                <w:sz w:val="24"/>
                <w:szCs w:val="24"/>
              </w:rPr>
            </w:pPr>
            <w:r w:rsidRPr="00EA310F">
              <w:rPr>
                <w:rFonts w:ascii="Times New Roman" w:hAnsi="Times New Roman" w:cs="Times New Roman"/>
                <w:sz w:val="24"/>
                <w:szCs w:val="24"/>
              </w:rPr>
              <w:t>NEET</w:t>
            </w:r>
          </w:p>
        </w:tc>
        <w:tc>
          <w:tcPr>
            <w:tcW w:w="8451" w:type="dxa"/>
          </w:tcPr>
          <w:p w:rsidR="00B92179" w:rsidRPr="00EA310F" w:rsidRDefault="00B92179" w:rsidP="009E608F">
            <w:pPr>
              <w:jc w:val="both"/>
              <w:rPr>
                <w:rFonts w:ascii="Times New Roman" w:hAnsi="Times New Roman" w:cs="Times New Roman"/>
                <w:sz w:val="24"/>
                <w:szCs w:val="24"/>
              </w:rPr>
            </w:pPr>
            <w:r w:rsidRPr="00FD50A9">
              <w:rPr>
                <w:rFonts w:ascii="Times New Roman" w:hAnsi="Times New Roman" w:cs="Times New Roman"/>
                <w:sz w:val="24"/>
                <w:szCs w:val="24"/>
              </w:rPr>
              <w:t>Not in Education, Employment or Training</w:t>
            </w:r>
          </w:p>
        </w:tc>
      </w:tr>
      <w:tr w:rsidR="00B92179" w:rsidRPr="00EA310F" w:rsidTr="00B92179">
        <w:tc>
          <w:tcPr>
            <w:tcW w:w="1177" w:type="dxa"/>
          </w:tcPr>
          <w:p w:rsidR="00B92179" w:rsidRPr="00EA310F" w:rsidRDefault="00B92179" w:rsidP="009E608F">
            <w:pPr>
              <w:jc w:val="both"/>
              <w:rPr>
                <w:rFonts w:ascii="Times New Roman" w:hAnsi="Times New Roman" w:cs="Times New Roman"/>
                <w:sz w:val="24"/>
                <w:szCs w:val="24"/>
              </w:rPr>
            </w:pPr>
            <w:r w:rsidRPr="00EA310F">
              <w:rPr>
                <w:rFonts w:ascii="Times New Roman" w:hAnsi="Times New Roman" w:cs="Times New Roman"/>
                <w:sz w:val="24"/>
                <w:szCs w:val="24"/>
              </w:rPr>
              <w:t>ONU</w:t>
            </w:r>
          </w:p>
        </w:tc>
        <w:tc>
          <w:tcPr>
            <w:tcW w:w="8451" w:type="dxa"/>
          </w:tcPr>
          <w:p w:rsidR="00B92179" w:rsidRPr="00EA310F" w:rsidRDefault="00B92179" w:rsidP="009E608F">
            <w:pPr>
              <w:jc w:val="both"/>
              <w:rPr>
                <w:rFonts w:ascii="Times New Roman" w:hAnsi="Times New Roman" w:cs="Times New Roman"/>
                <w:sz w:val="24"/>
                <w:szCs w:val="24"/>
              </w:rPr>
            </w:pPr>
            <w:r w:rsidRPr="00EA310F">
              <w:rPr>
                <w:rFonts w:ascii="Times New Roman" w:hAnsi="Times New Roman" w:cs="Times New Roman"/>
                <w:sz w:val="24"/>
                <w:szCs w:val="24"/>
              </w:rPr>
              <w:t>Organisation des Nations Unies</w:t>
            </w:r>
          </w:p>
        </w:tc>
      </w:tr>
      <w:tr w:rsidR="00B92179" w:rsidRPr="00EA310F" w:rsidTr="00B92179">
        <w:tc>
          <w:tcPr>
            <w:tcW w:w="1177" w:type="dxa"/>
          </w:tcPr>
          <w:p w:rsidR="00B92179" w:rsidRPr="00EA310F" w:rsidRDefault="00B92179" w:rsidP="009E608F">
            <w:pPr>
              <w:jc w:val="both"/>
              <w:rPr>
                <w:rFonts w:ascii="Times New Roman" w:hAnsi="Times New Roman" w:cs="Times New Roman"/>
                <w:sz w:val="24"/>
                <w:szCs w:val="24"/>
              </w:rPr>
            </w:pPr>
            <w:r w:rsidRPr="00EA310F">
              <w:rPr>
                <w:rFonts w:ascii="Times New Roman" w:hAnsi="Times New Roman" w:cs="Times New Roman"/>
                <w:sz w:val="24"/>
                <w:szCs w:val="24"/>
              </w:rPr>
              <w:t>ONEF</w:t>
            </w:r>
          </w:p>
        </w:tc>
        <w:tc>
          <w:tcPr>
            <w:tcW w:w="8451" w:type="dxa"/>
          </w:tcPr>
          <w:p w:rsidR="00B92179" w:rsidRPr="00EA310F" w:rsidRDefault="00B92179" w:rsidP="009E608F">
            <w:pPr>
              <w:jc w:val="both"/>
              <w:rPr>
                <w:rFonts w:ascii="Times New Roman" w:hAnsi="Times New Roman" w:cs="Times New Roman"/>
                <w:sz w:val="24"/>
                <w:szCs w:val="24"/>
              </w:rPr>
            </w:pPr>
            <w:r>
              <w:rPr>
                <w:rFonts w:ascii="Times New Roman" w:hAnsi="Times New Roman" w:cs="Times New Roman"/>
                <w:sz w:val="24"/>
                <w:szCs w:val="24"/>
              </w:rPr>
              <w:t>Observatoire National de l’Emploi et de la Formation</w:t>
            </w:r>
          </w:p>
        </w:tc>
      </w:tr>
      <w:tr w:rsidR="00B92179" w:rsidRPr="00EA310F" w:rsidTr="00B92179">
        <w:tc>
          <w:tcPr>
            <w:tcW w:w="1177" w:type="dxa"/>
          </w:tcPr>
          <w:p w:rsidR="00B92179" w:rsidRPr="00EA310F" w:rsidRDefault="00B92179" w:rsidP="009E608F">
            <w:pPr>
              <w:jc w:val="both"/>
              <w:rPr>
                <w:rFonts w:ascii="Times New Roman" w:hAnsi="Times New Roman" w:cs="Times New Roman"/>
                <w:sz w:val="24"/>
                <w:szCs w:val="24"/>
              </w:rPr>
            </w:pPr>
            <w:r w:rsidRPr="00EA310F">
              <w:rPr>
                <w:rFonts w:ascii="Times New Roman" w:hAnsi="Times New Roman" w:cs="Times New Roman"/>
                <w:sz w:val="24"/>
                <w:szCs w:val="24"/>
              </w:rPr>
              <w:t>ONG</w:t>
            </w:r>
          </w:p>
        </w:tc>
        <w:tc>
          <w:tcPr>
            <w:tcW w:w="8451" w:type="dxa"/>
          </w:tcPr>
          <w:p w:rsidR="00B92179" w:rsidRPr="00EA310F" w:rsidRDefault="00B92179" w:rsidP="009E608F">
            <w:pPr>
              <w:jc w:val="both"/>
              <w:rPr>
                <w:rFonts w:ascii="Times New Roman" w:hAnsi="Times New Roman" w:cs="Times New Roman"/>
                <w:sz w:val="24"/>
                <w:szCs w:val="24"/>
              </w:rPr>
            </w:pPr>
            <w:r>
              <w:rPr>
                <w:rFonts w:ascii="Times New Roman" w:hAnsi="Times New Roman" w:cs="Times New Roman"/>
                <w:sz w:val="24"/>
                <w:szCs w:val="24"/>
              </w:rPr>
              <w:t>Organisation Non Gouvernementale</w:t>
            </w:r>
          </w:p>
        </w:tc>
      </w:tr>
      <w:tr w:rsidR="00B92179" w:rsidRPr="00EA310F" w:rsidTr="00B92179">
        <w:tc>
          <w:tcPr>
            <w:tcW w:w="1177" w:type="dxa"/>
          </w:tcPr>
          <w:p w:rsidR="00B92179" w:rsidRPr="00EA310F" w:rsidRDefault="00B92179" w:rsidP="009E608F">
            <w:pPr>
              <w:jc w:val="both"/>
              <w:rPr>
                <w:rFonts w:ascii="Times New Roman" w:hAnsi="Times New Roman" w:cs="Times New Roman"/>
                <w:sz w:val="24"/>
                <w:szCs w:val="24"/>
              </w:rPr>
            </w:pPr>
            <w:r w:rsidRPr="00EA310F">
              <w:rPr>
                <w:rFonts w:ascii="Times New Roman" w:hAnsi="Times New Roman" w:cs="Times New Roman"/>
                <w:sz w:val="24"/>
                <w:szCs w:val="24"/>
              </w:rPr>
              <w:t>PADDER</w:t>
            </w:r>
          </w:p>
        </w:tc>
        <w:tc>
          <w:tcPr>
            <w:tcW w:w="8451" w:type="dxa"/>
          </w:tcPr>
          <w:p w:rsidR="00B92179" w:rsidRPr="00EA310F" w:rsidRDefault="00B92179" w:rsidP="009E608F">
            <w:pPr>
              <w:jc w:val="both"/>
              <w:rPr>
                <w:rFonts w:ascii="Times New Roman" w:hAnsi="Times New Roman" w:cs="Times New Roman"/>
                <w:sz w:val="24"/>
                <w:szCs w:val="24"/>
              </w:rPr>
            </w:pPr>
            <w:r w:rsidRPr="006973B5">
              <w:rPr>
                <w:rFonts w:ascii="Times New Roman" w:hAnsi="Times New Roman" w:cs="Times New Roman"/>
                <w:sz w:val="24"/>
                <w:szCs w:val="24"/>
              </w:rPr>
              <w:t>Projet d’Appui à la Décentralisation et au Développement Economique Régional</w:t>
            </w:r>
          </w:p>
        </w:tc>
      </w:tr>
      <w:tr w:rsidR="00B92179" w:rsidRPr="00EA310F" w:rsidTr="00B92179">
        <w:tc>
          <w:tcPr>
            <w:tcW w:w="1177" w:type="dxa"/>
          </w:tcPr>
          <w:p w:rsidR="00B92179" w:rsidRPr="00EA310F" w:rsidRDefault="00B92179" w:rsidP="009E608F">
            <w:pPr>
              <w:jc w:val="both"/>
              <w:rPr>
                <w:rFonts w:ascii="Times New Roman" w:hAnsi="Times New Roman" w:cs="Times New Roman"/>
                <w:sz w:val="24"/>
                <w:szCs w:val="24"/>
              </w:rPr>
            </w:pPr>
            <w:r w:rsidRPr="00EA310F">
              <w:rPr>
                <w:rFonts w:ascii="Times New Roman" w:hAnsi="Times New Roman" w:cs="Times New Roman"/>
                <w:sz w:val="24"/>
                <w:szCs w:val="24"/>
              </w:rPr>
              <w:t>PROCEJ</w:t>
            </w:r>
          </w:p>
        </w:tc>
        <w:tc>
          <w:tcPr>
            <w:tcW w:w="8451" w:type="dxa"/>
          </w:tcPr>
          <w:p w:rsidR="00B92179" w:rsidRPr="00EA310F" w:rsidRDefault="00B92179" w:rsidP="009E608F">
            <w:pPr>
              <w:jc w:val="both"/>
              <w:rPr>
                <w:rFonts w:ascii="Times New Roman" w:hAnsi="Times New Roman" w:cs="Times New Roman"/>
                <w:sz w:val="24"/>
                <w:szCs w:val="24"/>
              </w:rPr>
            </w:pPr>
            <w:r w:rsidRPr="00EA310F">
              <w:rPr>
                <w:rFonts w:ascii="Times New Roman" w:hAnsi="Times New Roman" w:cs="Times New Roman"/>
                <w:sz w:val="24"/>
                <w:szCs w:val="24"/>
              </w:rPr>
              <w:t xml:space="preserve">Projet de Développement des Compétences et Emploi des Jeunes </w:t>
            </w:r>
          </w:p>
        </w:tc>
      </w:tr>
      <w:tr w:rsidR="00B92179" w:rsidRPr="00EA310F" w:rsidTr="00B92179">
        <w:tc>
          <w:tcPr>
            <w:tcW w:w="1177" w:type="dxa"/>
          </w:tcPr>
          <w:p w:rsidR="00B92179" w:rsidRPr="00EA310F" w:rsidRDefault="00B92179" w:rsidP="009E608F">
            <w:pPr>
              <w:jc w:val="both"/>
              <w:rPr>
                <w:rFonts w:ascii="Times New Roman" w:hAnsi="Times New Roman" w:cs="Times New Roman"/>
                <w:sz w:val="24"/>
                <w:szCs w:val="24"/>
              </w:rPr>
            </w:pPr>
            <w:r w:rsidRPr="00EA310F">
              <w:rPr>
                <w:rFonts w:ascii="Times New Roman" w:hAnsi="Times New Roman" w:cs="Times New Roman"/>
                <w:sz w:val="24"/>
                <w:szCs w:val="24"/>
              </w:rPr>
              <w:t>SE</w:t>
            </w:r>
          </w:p>
        </w:tc>
        <w:tc>
          <w:tcPr>
            <w:tcW w:w="8451" w:type="dxa"/>
          </w:tcPr>
          <w:p w:rsidR="00B92179" w:rsidRPr="00EA310F" w:rsidRDefault="00B92179" w:rsidP="009E608F">
            <w:pPr>
              <w:jc w:val="both"/>
              <w:rPr>
                <w:rFonts w:ascii="Times New Roman" w:hAnsi="Times New Roman" w:cs="Times New Roman"/>
                <w:sz w:val="24"/>
                <w:szCs w:val="24"/>
              </w:rPr>
            </w:pPr>
            <w:r w:rsidRPr="00EA310F">
              <w:rPr>
                <w:rFonts w:ascii="Times New Roman" w:hAnsi="Times New Roman" w:cs="Times New Roman"/>
                <w:sz w:val="24"/>
                <w:szCs w:val="24"/>
              </w:rPr>
              <w:t xml:space="preserve">Section d’Enumération </w:t>
            </w:r>
          </w:p>
        </w:tc>
      </w:tr>
      <w:tr w:rsidR="00B92179" w:rsidRPr="00EA310F" w:rsidTr="00B92179">
        <w:tc>
          <w:tcPr>
            <w:tcW w:w="1177" w:type="dxa"/>
          </w:tcPr>
          <w:p w:rsidR="00B92179" w:rsidRPr="00EA310F" w:rsidRDefault="00B92179" w:rsidP="009E608F">
            <w:pPr>
              <w:jc w:val="both"/>
              <w:rPr>
                <w:rFonts w:ascii="Times New Roman" w:hAnsi="Times New Roman" w:cs="Times New Roman"/>
                <w:sz w:val="24"/>
                <w:szCs w:val="24"/>
              </w:rPr>
            </w:pPr>
            <w:r w:rsidRPr="00EA310F">
              <w:rPr>
                <w:rFonts w:ascii="Times New Roman" w:hAnsi="Times New Roman" w:cs="Times New Roman"/>
                <w:sz w:val="24"/>
                <w:szCs w:val="24"/>
              </w:rPr>
              <w:t>SPSS.</w:t>
            </w:r>
          </w:p>
        </w:tc>
        <w:tc>
          <w:tcPr>
            <w:tcW w:w="8451" w:type="dxa"/>
          </w:tcPr>
          <w:p w:rsidR="00B92179" w:rsidRPr="00EA310F" w:rsidRDefault="00B92179" w:rsidP="009E608F">
            <w:pPr>
              <w:jc w:val="both"/>
              <w:rPr>
                <w:rFonts w:ascii="Times New Roman" w:hAnsi="Times New Roman" w:cs="Times New Roman"/>
                <w:sz w:val="24"/>
                <w:szCs w:val="24"/>
              </w:rPr>
            </w:pPr>
            <w:r>
              <w:rPr>
                <w:rFonts w:ascii="Times New Roman" w:hAnsi="Times New Roman" w:cs="Times New Roman"/>
                <w:sz w:val="24"/>
                <w:szCs w:val="24"/>
              </w:rPr>
              <w:t>Statistical Package for Social Science</w:t>
            </w:r>
          </w:p>
        </w:tc>
      </w:tr>
      <w:tr w:rsidR="00B92179" w:rsidRPr="00EA310F" w:rsidTr="00B92179">
        <w:tc>
          <w:tcPr>
            <w:tcW w:w="1177" w:type="dxa"/>
          </w:tcPr>
          <w:p w:rsidR="00B92179" w:rsidRPr="00EA310F" w:rsidRDefault="00B92179" w:rsidP="009E608F">
            <w:pPr>
              <w:jc w:val="both"/>
              <w:rPr>
                <w:rFonts w:ascii="Times New Roman" w:hAnsi="Times New Roman" w:cs="Times New Roman"/>
                <w:sz w:val="24"/>
                <w:szCs w:val="24"/>
              </w:rPr>
            </w:pPr>
            <w:r w:rsidRPr="00EA310F">
              <w:rPr>
                <w:rFonts w:ascii="Times New Roman" w:hAnsi="Times New Roman" w:cs="Times New Roman"/>
                <w:sz w:val="24"/>
                <w:szCs w:val="24"/>
              </w:rPr>
              <w:t>SIMT</w:t>
            </w:r>
          </w:p>
        </w:tc>
        <w:tc>
          <w:tcPr>
            <w:tcW w:w="8451" w:type="dxa"/>
          </w:tcPr>
          <w:p w:rsidR="00B92179" w:rsidRPr="00EA310F" w:rsidRDefault="00B92179" w:rsidP="009E608F">
            <w:pPr>
              <w:jc w:val="both"/>
              <w:rPr>
                <w:rFonts w:ascii="Times New Roman" w:hAnsi="Times New Roman" w:cs="Times New Roman"/>
                <w:sz w:val="24"/>
                <w:szCs w:val="24"/>
              </w:rPr>
            </w:pPr>
            <w:r w:rsidRPr="00EA310F">
              <w:rPr>
                <w:rFonts w:ascii="Times New Roman" w:hAnsi="Times New Roman" w:cs="Times New Roman"/>
                <w:sz w:val="24"/>
                <w:szCs w:val="24"/>
              </w:rPr>
              <w:t>Système d’Information sur le Marché du Travail</w:t>
            </w:r>
          </w:p>
        </w:tc>
      </w:tr>
    </w:tbl>
    <w:p w:rsidR="00B92179" w:rsidRPr="006973B5" w:rsidRDefault="00B92179" w:rsidP="00B92179">
      <w:pPr>
        <w:spacing w:after="0"/>
        <w:jc w:val="both"/>
        <w:rPr>
          <w:rFonts w:ascii="Times New Roman" w:eastAsia="Times New Roman" w:hAnsi="Times New Roman" w:cs="Times New Roman"/>
          <w:color w:val="000000"/>
          <w:sz w:val="20"/>
          <w:szCs w:val="20"/>
          <w:lang w:eastAsia="fr-FR"/>
        </w:rPr>
      </w:pPr>
    </w:p>
    <w:p w:rsidR="00016BC6" w:rsidRPr="006973B5" w:rsidRDefault="00016BC6" w:rsidP="007A0F56">
      <w:pPr>
        <w:spacing w:after="0"/>
        <w:jc w:val="both"/>
        <w:rPr>
          <w:rFonts w:ascii="Times New Roman" w:eastAsia="Times New Roman" w:hAnsi="Times New Roman" w:cs="Times New Roman"/>
          <w:color w:val="000000"/>
          <w:sz w:val="20"/>
          <w:szCs w:val="20"/>
          <w:lang w:eastAsia="fr-FR"/>
        </w:rPr>
      </w:pPr>
    </w:p>
    <w:p w:rsidR="00016BC6" w:rsidRPr="006973B5" w:rsidRDefault="00016BC6" w:rsidP="007A0F56">
      <w:pPr>
        <w:spacing w:after="0"/>
        <w:jc w:val="both"/>
        <w:rPr>
          <w:rFonts w:ascii="Times New Roman" w:eastAsia="Times New Roman" w:hAnsi="Times New Roman" w:cs="Times New Roman"/>
          <w:color w:val="000000"/>
          <w:sz w:val="20"/>
          <w:szCs w:val="20"/>
          <w:lang w:eastAsia="fr-FR"/>
        </w:rPr>
      </w:pPr>
    </w:p>
    <w:p w:rsidR="00016BC6" w:rsidRPr="006973B5" w:rsidRDefault="00016BC6" w:rsidP="007A0F56">
      <w:pPr>
        <w:spacing w:after="0"/>
        <w:jc w:val="both"/>
        <w:rPr>
          <w:rFonts w:ascii="Times New Roman" w:eastAsia="Times New Roman" w:hAnsi="Times New Roman" w:cs="Times New Roman"/>
          <w:color w:val="000000"/>
          <w:sz w:val="20"/>
          <w:szCs w:val="20"/>
          <w:lang w:eastAsia="fr-FR"/>
        </w:rPr>
      </w:pPr>
    </w:p>
    <w:p w:rsidR="00016BC6" w:rsidRPr="006973B5" w:rsidRDefault="00016BC6" w:rsidP="007A0F56">
      <w:pPr>
        <w:spacing w:after="0"/>
        <w:jc w:val="both"/>
        <w:rPr>
          <w:rFonts w:ascii="Times New Roman" w:eastAsia="Times New Roman" w:hAnsi="Times New Roman" w:cs="Times New Roman"/>
          <w:color w:val="000000"/>
          <w:sz w:val="20"/>
          <w:szCs w:val="20"/>
          <w:lang w:eastAsia="fr-FR"/>
        </w:rPr>
      </w:pPr>
    </w:p>
    <w:p w:rsidR="00211B05" w:rsidRPr="006973B5" w:rsidRDefault="00211B05" w:rsidP="007A0F56">
      <w:pPr>
        <w:spacing w:after="0"/>
        <w:jc w:val="both"/>
        <w:rPr>
          <w:rFonts w:ascii="Times New Roman" w:eastAsia="Times New Roman" w:hAnsi="Times New Roman" w:cs="Times New Roman"/>
          <w:color w:val="000000"/>
          <w:sz w:val="20"/>
          <w:szCs w:val="20"/>
          <w:lang w:eastAsia="fr-FR"/>
        </w:rPr>
      </w:pPr>
    </w:p>
    <w:p w:rsidR="00211B05" w:rsidRPr="006973B5" w:rsidRDefault="00211B05" w:rsidP="007A0F56">
      <w:pPr>
        <w:spacing w:after="0"/>
        <w:jc w:val="both"/>
        <w:rPr>
          <w:rFonts w:ascii="Times New Roman" w:eastAsia="Times New Roman" w:hAnsi="Times New Roman" w:cs="Times New Roman"/>
          <w:color w:val="000000"/>
          <w:sz w:val="20"/>
          <w:szCs w:val="20"/>
          <w:lang w:eastAsia="fr-FR"/>
        </w:rPr>
      </w:pPr>
    </w:p>
    <w:p w:rsidR="00211B05" w:rsidRPr="006973B5" w:rsidRDefault="00211B05" w:rsidP="007A0F56">
      <w:pPr>
        <w:spacing w:after="0"/>
        <w:jc w:val="both"/>
        <w:rPr>
          <w:rFonts w:ascii="Times New Roman" w:eastAsia="Times New Roman" w:hAnsi="Times New Roman" w:cs="Times New Roman"/>
          <w:color w:val="000000"/>
          <w:sz w:val="20"/>
          <w:szCs w:val="20"/>
          <w:lang w:eastAsia="fr-FR"/>
        </w:rPr>
      </w:pPr>
    </w:p>
    <w:p w:rsidR="00211B05" w:rsidRPr="006973B5" w:rsidRDefault="00211B05" w:rsidP="007A0F56">
      <w:pPr>
        <w:spacing w:after="0"/>
        <w:jc w:val="both"/>
        <w:rPr>
          <w:rFonts w:ascii="Times New Roman" w:eastAsia="Times New Roman" w:hAnsi="Times New Roman" w:cs="Times New Roman"/>
          <w:color w:val="000000"/>
          <w:sz w:val="20"/>
          <w:szCs w:val="20"/>
          <w:lang w:eastAsia="fr-FR"/>
        </w:rPr>
      </w:pPr>
    </w:p>
    <w:p w:rsidR="00211B05" w:rsidRPr="006973B5" w:rsidRDefault="00211B05" w:rsidP="007A0F56">
      <w:pPr>
        <w:spacing w:after="0"/>
        <w:jc w:val="both"/>
        <w:rPr>
          <w:rFonts w:ascii="Times New Roman" w:eastAsia="Times New Roman" w:hAnsi="Times New Roman" w:cs="Times New Roman"/>
          <w:color w:val="000000"/>
          <w:sz w:val="20"/>
          <w:szCs w:val="20"/>
          <w:lang w:eastAsia="fr-FR"/>
        </w:rPr>
      </w:pPr>
    </w:p>
    <w:p w:rsidR="00211B05" w:rsidRPr="006973B5" w:rsidRDefault="00211B05" w:rsidP="007A0F56">
      <w:pPr>
        <w:spacing w:after="0"/>
        <w:jc w:val="both"/>
        <w:rPr>
          <w:rFonts w:ascii="Times New Roman" w:eastAsia="Times New Roman" w:hAnsi="Times New Roman" w:cs="Times New Roman"/>
          <w:color w:val="000000"/>
          <w:sz w:val="20"/>
          <w:szCs w:val="20"/>
          <w:lang w:eastAsia="fr-FR"/>
        </w:rPr>
      </w:pPr>
    </w:p>
    <w:p w:rsidR="00211B05" w:rsidRPr="006973B5" w:rsidRDefault="00211B05" w:rsidP="007A0F56">
      <w:pPr>
        <w:spacing w:after="0"/>
        <w:jc w:val="both"/>
        <w:rPr>
          <w:rFonts w:ascii="Times New Roman" w:eastAsia="Times New Roman" w:hAnsi="Times New Roman" w:cs="Times New Roman"/>
          <w:color w:val="000000"/>
          <w:sz w:val="20"/>
          <w:szCs w:val="20"/>
          <w:lang w:eastAsia="fr-FR"/>
        </w:rPr>
      </w:pPr>
    </w:p>
    <w:p w:rsidR="00211B05" w:rsidRDefault="00211B05" w:rsidP="007A0F56">
      <w:pPr>
        <w:spacing w:after="0"/>
        <w:jc w:val="both"/>
        <w:rPr>
          <w:rFonts w:ascii="Times New Roman" w:eastAsia="Times New Roman" w:hAnsi="Times New Roman" w:cs="Times New Roman"/>
          <w:color w:val="000000"/>
          <w:sz w:val="20"/>
          <w:szCs w:val="20"/>
          <w:lang w:eastAsia="fr-FR"/>
        </w:rPr>
      </w:pPr>
    </w:p>
    <w:p w:rsidR="005F120E" w:rsidRDefault="005F120E" w:rsidP="007A0F56">
      <w:pPr>
        <w:spacing w:after="0"/>
        <w:jc w:val="both"/>
        <w:rPr>
          <w:rFonts w:ascii="Times New Roman" w:eastAsia="Times New Roman" w:hAnsi="Times New Roman" w:cs="Times New Roman"/>
          <w:color w:val="000000"/>
          <w:sz w:val="20"/>
          <w:szCs w:val="20"/>
          <w:lang w:eastAsia="fr-FR"/>
        </w:rPr>
      </w:pPr>
    </w:p>
    <w:p w:rsidR="005F120E" w:rsidRDefault="005F120E" w:rsidP="007A0F56">
      <w:pPr>
        <w:spacing w:after="0"/>
        <w:jc w:val="both"/>
        <w:rPr>
          <w:rFonts w:ascii="Times New Roman" w:eastAsia="Times New Roman" w:hAnsi="Times New Roman" w:cs="Times New Roman"/>
          <w:color w:val="000000"/>
          <w:sz w:val="20"/>
          <w:szCs w:val="20"/>
          <w:lang w:eastAsia="fr-FR"/>
        </w:rPr>
      </w:pPr>
    </w:p>
    <w:p w:rsidR="005F120E" w:rsidRDefault="005F120E" w:rsidP="007A0F56">
      <w:pPr>
        <w:spacing w:after="0"/>
        <w:jc w:val="both"/>
        <w:rPr>
          <w:rFonts w:ascii="Times New Roman" w:eastAsia="Times New Roman" w:hAnsi="Times New Roman" w:cs="Times New Roman"/>
          <w:color w:val="000000"/>
          <w:sz w:val="20"/>
          <w:szCs w:val="20"/>
          <w:lang w:eastAsia="fr-FR"/>
        </w:rPr>
      </w:pPr>
    </w:p>
    <w:p w:rsidR="005F120E" w:rsidRDefault="005F120E" w:rsidP="007A0F56">
      <w:pPr>
        <w:spacing w:after="0"/>
        <w:jc w:val="both"/>
        <w:rPr>
          <w:rFonts w:ascii="Times New Roman" w:eastAsia="Times New Roman" w:hAnsi="Times New Roman" w:cs="Times New Roman"/>
          <w:color w:val="000000"/>
          <w:sz w:val="20"/>
          <w:szCs w:val="20"/>
          <w:lang w:eastAsia="fr-FR"/>
        </w:rPr>
      </w:pPr>
    </w:p>
    <w:p w:rsidR="00AD3E3E" w:rsidRDefault="00AD3E3E" w:rsidP="00937EDF">
      <w:pPr>
        <w:pStyle w:val="Titre1"/>
        <w:rPr>
          <w:rFonts w:ascii="Times New Roman" w:eastAsia="Times New Roman" w:hAnsi="Times New Roman" w:cs="Times New Roman"/>
          <w:b/>
          <w:color w:val="auto"/>
          <w:lang w:eastAsia="fr-FR"/>
        </w:rPr>
        <w:sectPr w:rsidR="00AD3E3E" w:rsidSect="00AD3E3E">
          <w:pgSz w:w="11906" w:h="16838"/>
          <w:pgMar w:top="1134" w:right="1134" w:bottom="1134" w:left="1134" w:header="709" w:footer="709" w:gutter="0"/>
          <w:pgNumType w:fmt="lowerRoman" w:start="1"/>
          <w:cols w:space="708"/>
          <w:docGrid w:linePitch="360"/>
        </w:sectPr>
      </w:pPr>
    </w:p>
    <w:p w:rsidR="0051201B" w:rsidRPr="006973B5" w:rsidRDefault="0051201B" w:rsidP="00937EDF">
      <w:pPr>
        <w:pStyle w:val="Titre1"/>
        <w:rPr>
          <w:rFonts w:ascii="Times New Roman" w:eastAsia="Times New Roman" w:hAnsi="Times New Roman" w:cs="Times New Roman"/>
          <w:b/>
          <w:color w:val="auto"/>
          <w:lang w:eastAsia="fr-FR"/>
        </w:rPr>
      </w:pPr>
      <w:bookmarkStart w:id="4" w:name="_Toc516676405"/>
      <w:r w:rsidRPr="006973B5">
        <w:rPr>
          <w:rFonts w:ascii="Times New Roman" w:eastAsia="Times New Roman" w:hAnsi="Times New Roman" w:cs="Times New Roman"/>
          <w:b/>
          <w:color w:val="auto"/>
          <w:lang w:eastAsia="fr-FR"/>
        </w:rPr>
        <w:lastRenderedPageBreak/>
        <w:t>Introduction</w:t>
      </w:r>
      <w:bookmarkEnd w:id="4"/>
    </w:p>
    <w:p w:rsidR="0051201B" w:rsidRPr="006973B5" w:rsidRDefault="0051201B" w:rsidP="007A0F56">
      <w:pPr>
        <w:spacing w:after="0"/>
        <w:jc w:val="both"/>
        <w:rPr>
          <w:rFonts w:ascii="Times New Roman" w:eastAsia="Times New Roman" w:hAnsi="Times New Roman" w:cs="Times New Roman"/>
          <w:color w:val="000000"/>
          <w:sz w:val="20"/>
          <w:szCs w:val="20"/>
          <w:lang w:eastAsia="fr-FR"/>
        </w:rPr>
      </w:pPr>
    </w:p>
    <w:p w:rsidR="00016BC6" w:rsidRPr="006973B5" w:rsidRDefault="00016BC6" w:rsidP="00937EDF">
      <w:pPr>
        <w:pStyle w:val="Titre2"/>
        <w:numPr>
          <w:ilvl w:val="0"/>
          <w:numId w:val="13"/>
        </w:numPr>
        <w:rPr>
          <w:rFonts w:ascii="Times New Roman" w:eastAsia="Calibri" w:hAnsi="Times New Roman" w:cs="Times New Roman"/>
          <w:b/>
          <w:color w:val="auto"/>
          <w:sz w:val="28"/>
        </w:rPr>
      </w:pPr>
      <w:bookmarkStart w:id="5" w:name="_Toc516676406"/>
      <w:r w:rsidRPr="006973B5">
        <w:rPr>
          <w:rFonts w:ascii="Times New Roman" w:eastAsia="Calibri" w:hAnsi="Times New Roman" w:cs="Times New Roman"/>
          <w:b/>
          <w:color w:val="auto"/>
          <w:sz w:val="28"/>
        </w:rPr>
        <w:t>Contexte et justification</w:t>
      </w:r>
      <w:bookmarkEnd w:id="5"/>
      <w:r w:rsidRPr="006973B5">
        <w:rPr>
          <w:rFonts w:ascii="Times New Roman" w:eastAsia="Calibri" w:hAnsi="Times New Roman" w:cs="Times New Roman"/>
          <w:b/>
          <w:color w:val="auto"/>
          <w:sz w:val="28"/>
        </w:rPr>
        <w:t xml:space="preserve"> </w:t>
      </w:r>
    </w:p>
    <w:p w:rsidR="00016BC6" w:rsidRPr="006973B5" w:rsidRDefault="00016BC6" w:rsidP="00016BC6">
      <w:pPr>
        <w:spacing w:after="0"/>
        <w:jc w:val="both"/>
        <w:rPr>
          <w:rFonts w:ascii="Times New Roman" w:eastAsia="Calibri" w:hAnsi="Times New Roman" w:cs="Times New Roman"/>
          <w:b/>
          <w:color w:val="000000"/>
          <w:sz w:val="24"/>
          <w:szCs w:val="24"/>
        </w:rPr>
      </w:pPr>
    </w:p>
    <w:p w:rsidR="00016BC6" w:rsidRPr="006973B5" w:rsidRDefault="00016BC6" w:rsidP="000237E0">
      <w:pPr>
        <w:spacing w:after="0" w:line="276" w:lineRule="auto"/>
        <w:jc w:val="both"/>
        <w:rPr>
          <w:rFonts w:ascii="Times New Roman" w:hAnsi="Times New Roman" w:cs="Times New Roman"/>
          <w:sz w:val="24"/>
          <w:szCs w:val="24"/>
        </w:rPr>
      </w:pPr>
      <w:r w:rsidRPr="006973B5">
        <w:rPr>
          <w:rFonts w:ascii="Times New Roman" w:hAnsi="Times New Roman" w:cs="Times New Roman"/>
          <w:sz w:val="24"/>
          <w:szCs w:val="24"/>
        </w:rPr>
        <w:t>Malgré une croissance économique positive, le Mali demeure l’un des pays les plus pauvres au monde. Ces dernières années, le PIB a été positif mais assez volatile du fait des différents chocs politique, économique et naturel. Les fluctuations de la croissance économique peuvent être partiellement imputables aux pluies irrégulières qui ont impacté les productions des secteurs secondaire et tertiaire qui dépendent à leur tour de la production de l’agriculture dans laquelle les conséquences des conditions météorologiques peuvent être aperçues dans l’augmentation du prix des aliments, tandis que les prix des autres produits sont restés relativement stables. De plus, les changements dans les prix du marché mondial et l’instabilité politique ont aussi négativement impacté l’économie.</w:t>
      </w:r>
    </w:p>
    <w:p w:rsidR="00016BC6" w:rsidRPr="006973B5" w:rsidRDefault="00016BC6" w:rsidP="00016BC6">
      <w:pPr>
        <w:spacing w:after="0"/>
        <w:jc w:val="both"/>
        <w:rPr>
          <w:rFonts w:ascii="Times New Roman" w:hAnsi="Times New Roman" w:cs="Times New Roman"/>
          <w:sz w:val="24"/>
          <w:szCs w:val="24"/>
        </w:rPr>
      </w:pPr>
    </w:p>
    <w:p w:rsidR="00016BC6" w:rsidRPr="006973B5" w:rsidRDefault="00016BC6" w:rsidP="000237E0">
      <w:pPr>
        <w:autoSpaceDE w:val="0"/>
        <w:autoSpaceDN w:val="0"/>
        <w:adjustRightInd w:val="0"/>
        <w:spacing w:after="0" w:line="276" w:lineRule="auto"/>
        <w:jc w:val="both"/>
        <w:rPr>
          <w:rFonts w:ascii="Times New Roman" w:hAnsi="Times New Roman" w:cs="Times New Roman"/>
          <w:sz w:val="24"/>
          <w:szCs w:val="24"/>
        </w:rPr>
      </w:pPr>
      <w:r w:rsidRPr="006973B5">
        <w:rPr>
          <w:rFonts w:ascii="Times New Roman" w:hAnsi="Times New Roman" w:cs="Times New Roman"/>
          <w:sz w:val="24"/>
          <w:szCs w:val="24"/>
        </w:rPr>
        <w:t>En dépit des performances économiques et des efforts fournis dans le cadre de la mise en œuvre des documents cadre de politique tels que le Cadre Stratégique pour la Croissance et la Réduction de la Pauvreté CSCRP (2012-2017), le cadre stratégique pour la relance économique et le développement durable CREED (2016-2018) et la priorité spécifique accordée par le Gouvernement à la question de l’emploi des jeunes, le niveau de chômage, particulièrement celui des jeunes, reste encore élevé au Mali.</w:t>
      </w:r>
    </w:p>
    <w:p w:rsidR="00016BC6" w:rsidRPr="006973B5" w:rsidRDefault="00016BC6" w:rsidP="00016BC6">
      <w:pPr>
        <w:autoSpaceDE w:val="0"/>
        <w:autoSpaceDN w:val="0"/>
        <w:adjustRightInd w:val="0"/>
        <w:spacing w:after="0" w:line="240" w:lineRule="auto"/>
        <w:jc w:val="both"/>
        <w:rPr>
          <w:rFonts w:ascii="Times New Roman" w:hAnsi="Times New Roman" w:cs="Times New Roman"/>
          <w:sz w:val="24"/>
          <w:szCs w:val="24"/>
        </w:rPr>
      </w:pPr>
    </w:p>
    <w:p w:rsidR="00016BC6" w:rsidRPr="006973B5" w:rsidRDefault="00016BC6" w:rsidP="000237E0">
      <w:pPr>
        <w:spacing w:after="0" w:line="276" w:lineRule="auto"/>
        <w:jc w:val="both"/>
        <w:rPr>
          <w:rFonts w:ascii="Times New Roman" w:hAnsi="Times New Roman" w:cs="Times New Roman"/>
          <w:sz w:val="24"/>
          <w:szCs w:val="24"/>
        </w:rPr>
      </w:pPr>
      <w:r w:rsidRPr="006973B5">
        <w:rPr>
          <w:rFonts w:ascii="Times New Roman" w:hAnsi="Times New Roman" w:cs="Times New Roman"/>
          <w:sz w:val="24"/>
          <w:szCs w:val="24"/>
        </w:rPr>
        <w:t xml:space="preserve">En 2010, plus de 70% des jeunes compris entre 15 et 24 ans étaient non scolarisés et avaient des qualifications et compétences très limitées. La majorité de ces jeunes occupent des emplois de faible productivité/qualité dans l’agriculture informelle et le secteur des services (plus de 90 %) et un pourcentage important d'entre eux étaient également chômeurs ou inactifs (environ 20%). </w:t>
      </w:r>
    </w:p>
    <w:p w:rsidR="00016BC6" w:rsidRPr="006973B5" w:rsidRDefault="00016BC6" w:rsidP="00016BC6">
      <w:pPr>
        <w:spacing w:after="0"/>
        <w:jc w:val="both"/>
        <w:rPr>
          <w:rFonts w:ascii="Times New Roman" w:hAnsi="Times New Roman" w:cs="Times New Roman"/>
        </w:rPr>
      </w:pPr>
    </w:p>
    <w:p w:rsidR="00016BC6" w:rsidRPr="006973B5" w:rsidRDefault="00016BC6" w:rsidP="000237E0">
      <w:pPr>
        <w:spacing w:after="0" w:line="276" w:lineRule="auto"/>
        <w:jc w:val="both"/>
        <w:rPr>
          <w:rFonts w:ascii="Times New Roman" w:hAnsi="Times New Roman" w:cs="Times New Roman"/>
          <w:sz w:val="24"/>
          <w:szCs w:val="24"/>
        </w:rPr>
      </w:pPr>
      <w:r w:rsidRPr="006973B5">
        <w:rPr>
          <w:rFonts w:ascii="Times New Roman" w:hAnsi="Times New Roman" w:cs="Times New Roman"/>
          <w:sz w:val="24"/>
          <w:szCs w:val="24"/>
        </w:rPr>
        <w:t>Dans le cadre d’une étude sur la revue des dépenses publiques dans le secteur de la protection sociale au Mali, l’équipe de la Banque a identifié un nombre important d’agences nationales (Agence nationale pour l’emploi / ANPE, Agence de Promotion de l’emploi jeunesse / APEJ etc.), et internationales (agences des Nations Unies, les donateurs bilatéraux, les ONG) et les acteurs locaux (ONG nationales) travaillant actuellement sur l’emploi pour les jeunes dans le pays. L’inventaire de leurs programmes/projets a révélé une insuffisance dans la coordination et une cohérence limitée dans leurs interventions. La plupart des activités visent à assurer la formation technique à court terme pour améliorer les compétences et la fourniture de kits de démarrage. Cependant cette pratique ne serait pas efficace car beaucoup de ces activités soutenues ne sont pas attractives pour les jeunes parce qu’elles ne correspondent pas à leur aspiration ou désir.</w:t>
      </w:r>
    </w:p>
    <w:p w:rsidR="0051201B" w:rsidRPr="006973B5" w:rsidRDefault="0051201B" w:rsidP="00016BC6">
      <w:pPr>
        <w:spacing w:after="0"/>
        <w:jc w:val="both"/>
        <w:rPr>
          <w:rFonts w:ascii="Times New Roman" w:hAnsi="Times New Roman" w:cs="Times New Roman"/>
          <w:sz w:val="24"/>
          <w:szCs w:val="24"/>
        </w:rPr>
      </w:pPr>
    </w:p>
    <w:p w:rsidR="0051201B" w:rsidRPr="006973B5" w:rsidRDefault="0051201B" w:rsidP="00937EDF">
      <w:pPr>
        <w:pStyle w:val="Titre2"/>
        <w:numPr>
          <w:ilvl w:val="0"/>
          <w:numId w:val="13"/>
        </w:numPr>
        <w:rPr>
          <w:rFonts w:ascii="Times New Roman" w:eastAsia="Calibri" w:hAnsi="Times New Roman" w:cs="Times New Roman"/>
          <w:b/>
          <w:color w:val="auto"/>
          <w:sz w:val="28"/>
        </w:rPr>
      </w:pPr>
      <w:bookmarkStart w:id="6" w:name="_Toc516676407"/>
      <w:r w:rsidRPr="006973B5">
        <w:rPr>
          <w:rFonts w:ascii="Times New Roman" w:eastAsia="Calibri" w:hAnsi="Times New Roman" w:cs="Times New Roman"/>
          <w:b/>
          <w:color w:val="auto"/>
          <w:sz w:val="28"/>
        </w:rPr>
        <w:t>Objectifs de l’étude</w:t>
      </w:r>
      <w:bookmarkEnd w:id="6"/>
      <w:r w:rsidRPr="006973B5">
        <w:rPr>
          <w:rFonts w:ascii="Times New Roman" w:eastAsia="Calibri" w:hAnsi="Times New Roman" w:cs="Times New Roman"/>
          <w:b/>
          <w:color w:val="auto"/>
          <w:sz w:val="28"/>
        </w:rPr>
        <w:t xml:space="preserve"> </w:t>
      </w:r>
    </w:p>
    <w:p w:rsidR="0051201B" w:rsidRPr="006973B5" w:rsidRDefault="0051201B" w:rsidP="00016BC6">
      <w:pPr>
        <w:spacing w:after="0"/>
        <w:jc w:val="both"/>
        <w:rPr>
          <w:rFonts w:ascii="Times New Roman" w:hAnsi="Times New Roman" w:cs="Times New Roman"/>
          <w:sz w:val="24"/>
          <w:szCs w:val="24"/>
        </w:rPr>
      </w:pPr>
    </w:p>
    <w:p w:rsidR="00016BC6" w:rsidRPr="006973B5" w:rsidRDefault="00016BC6" w:rsidP="0051201B">
      <w:pPr>
        <w:pStyle w:val="Paragraphedeliste"/>
        <w:numPr>
          <w:ilvl w:val="0"/>
          <w:numId w:val="9"/>
        </w:numPr>
        <w:spacing w:after="0"/>
        <w:jc w:val="both"/>
        <w:rPr>
          <w:rFonts w:ascii="Times New Roman" w:eastAsia="Calibri" w:hAnsi="Times New Roman" w:cs="Times New Roman"/>
          <w:b/>
          <w:color w:val="000000"/>
          <w:sz w:val="26"/>
          <w:szCs w:val="26"/>
        </w:rPr>
      </w:pPr>
      <w:r w:rsidRPr="006973B5">
        <w:rPr>
          <w:rFonts w:ascii="Times New Roman" w:eastAsia="Calibri" w:hAnsi="Times New Roman" w:cs="Times New Roman"/>
          <w:b/>
          <w:color w:val="000000"/>
          <w:sz w:val="26"/>
          <w:szCs w:val="26"/>
        </w:rPr>
        <w:t xml:space="preserve">Objectif général </w:t>
      </w:r>
    </w:p>
    <w:p w:rsidR="00016BC6" w:rsidRPr="006973B5" w:rsidRDefault="00016BC6" w:rsidP="00016BC6">
      <w:pPr>
        <w:spacing w:after="0"/>
        <w:jc w:val="both"/>
        <w:rPr>
          <w:rFonts w:ascii="Times New Roman" w:hAnsi="Times New Roman" w:cs="Times New Roman"/>
          <w:sz w:val="24"/>
          <w:szCs w:val="24"/>
        </w:rPr>
      </w:pPr>
    </w:p>
    <w:p w:rsidR="00016BC6" w:rsidRPr="006973B5" w:rsidRDefault="00016BC6" w:rsidP="000237E0">
      <w:pPr>
        <w:pStyle w:val="Normal0"/>
        <w:spacing w:line="276" w:lineRule="auto"/>
        <w:jc w:val="both"/>
        <w:rPr>
          <w:rFonts w:ascii="Times New Roman" w:hAnsi="Times New Roman" w:cs="Times New Roman"/>
          <w:sz w:val="24"/>
          <w:szCs w:val="24"/>
          <w:lang w:val="fr-FR"/>
        </w:rPr>
      </w:pPr>
      <w:r w:rsidRPr="006973B5">
        <w:rPr>
          <w:rFonts w:ascii="Times New Roman" w:hAnsi="Times New Roman" w:cs="Times New Roman"/>
          <w:sz w:val="24"/>
          <w:szCs w:val="24"/>
          <w:lang w:val="fr-FR"/>
        </w:rPr>
        <w:t xml:space="preserve">L’objectif de ce travail analytique est d’évaluer la situation de l’emploi des jeunes au Mali, tant du côté de l’offre par le biais de l’identification des principales caractéristiques et des défis auxquels font face les jeunes (15-24-year-old) en accédant à et en retenant des emplois décents, aussi bien du côté </w:t>
      </w:r>
      <w:r w:rsidRPr="006973B5">
        <w:rPr>
          <w:rFonts w:ascii="Times New Roman" w:hAnsi="Times New Roman" w:cs="Times New Roman"/>
          <w:sz w:val="24"/>
          <w:szCs w:val="24"/>
          <w:lang w:val="fr-FR"/>
        </w:rPr>
        <w:lastRenderedPageBreak/>
        <w:t>de la demande à travers une brève analyse des besoins du marché du travail local, en mettant l’accent sur le travail indépendant et l’entrepreneuriat.</w:t>
      </w:r>
    </w:p>
    <w:p w:rsidR="00016BC6" w:rsidRPr="006973B5" w:rsidRDefault="00016BC6" w:rsidP="00016BC6">
      <w:pPr>
        <w:spacing w:after="0"/>
        <w:jc w:val="both"/>
        <w:rPr>
          <w:rFonts w:ascii="Times New Roman" w:hAnsi="Times New Roman" w:cs="Times New Roman"/>
          <w:sz w:val="24"/>
          <w:szCs w:val="24"/>
        </w:rPr>
      </w:pPr>
    </w:p>
    <w:p w:rsidR="00016BC6" w:rsidRPr="006973B5" w:rsidRDefault="00016BC6" w:rsidP="0051201B">
      <w:pPr>
        <w:pStyle w:val="Paragraphedeliste"/>
        <w:numPr>
          <w:ilvl w:val="0"/>
          <w:numId w:val="9"/>
        </w:numPr>
        <w:spacing w:after="0"/>
        <w:jc w:val="both"/>
        <w:rPr>
          <w:rFonts w:ascii="Times New Roman" w:eastAsia="Calibri" w:hAnsi="Times New Roman" w:cs="Times New Roman"/>
          <w:b/>
          <w:color w:val="000000"/>
          <w:sz w:val="26"/>
          <w:szCs w:val="26"/>
        </w:rPr>
      </w:pPr>
      <w:r w:rsidRPr="006973B5">
        <w:rPr>
          <w:rFonts w:ascii="Times New Roman" w:eastAsia="Calibri" w:hAnsi="Times New Roman" w:cs="Times New Roman"/>
          <w:b/>
          <w:color w:val="000000"/>
          <w:sz w:val="26"/>
          <w:szCs w:val="26"/>
        </w:rPr>
        <w:t>Les objectifs spécifiques</w:t>
      </w:r>
    </w:p>
    <w:p w:rsidR="00016BC6" w:rsidRPr="006973B5" w:rsidRDefault="00016BC6" w:rsidP="00016BC6">
      <w:pPr>
        <w:spacing w:after="0"/>
        <w:jc w:val="both"/>
        <w:rPr>
          <w:rFonts w:ascii="Times New Roman" w:hAnsi="Times New Roman" w:cs="Times New Roman"/>
          <w:b/>
          <w:sz w:val="24"/>
          <w:szCs w:val="24"/>
        </w:rPr>
      </w:pPr>
    </w:p>
    <w:p w:rsidR="00016BC6" w:rsidRPr="006973B5" w:rsidRDefault="00016BC6" w:rsidP="00016BC6">
      <w:pPr>
        <w:pStyle w:val="Normal0"/>
        <w:jc w:val="both"/>
        <w:rPr>
          <w:rFonts w:ascii="Times New Roman" w:eastAsia="Calibri" w:hAnsi="Times New Roman" w:cs="Times New Roman"/>
          <w:color w:val="000000"/>
          <w:sz w:val="24"/>
          <w:szCs w:val="24"/>
          <w:lang w:val="fr-FR"/>
        </w:rPr>
      </w:pPr>
      <w:r w:rsidRPr="006973B5">
        <w:rPr>
          <w:rFonts w:ascii="Times New Roman" w:eastAsia="Calibri" w:hAnsi="Times New Roman" w:cs="Times New Roman"/>
          <w:color w:val="000000"/>
          <w:sz w:val="24"/>
          <w:szCs w:val="24"/>
          <w:lang w:val="fr-FR"/>
        </w:rPr>
        <w:t xml:space="preserve">L’étude vise à atteindre les objectifs suivants : </w:t>
      </w:r>
    </w:p>
    <w:p w:rsidR="00016BC6" w:rsidRPr="006973B5" w:rsidRDefault="00016BC6" w:rsidP="000237E0">
      <w:pPr>
        <w:pStyle w:val="Normal0"/>
        <w:spacing w:line="276" w:lineRule="auto"/>
        <w:jc w:val="both"/>
        <w:rPr>
          <w:rFonts w:ascii="Times New Roman" w:hAnsi="Times New Roman" w:cs="Times New Roman"/>
          <w:sz w:val="24"/>
          <w:szCs w:val="24"/>
          <w:lang w:val="fr-FR"/>
        </w:rPr>
      </w:pPr>
      <w:r w:rsidRPr="006973B5">
        <w:rPr>
          <w:rFonts w:ascii="Times New Roman" w:hAnsi="Times New Roman" w:cs="Times New Roman"/>
          <w:b/>
          <w:i/>
          <w:sz w:val="24"/>
          <w:szCs w:val="24"/>
          <w:lang w:val="fr-FR"/>
        </w:rPr>
        <w:t>Le profil de l’emploi des jeunes</w:t>
      </w:r>
      <w:r w:rsidR="00AD3E3E">
        <w:rPr>
          <w:rFonts w:ascii="Times New Roman" w:hAnsi="Times New Roman" w:cs="Times New Roman"/>
          <w:sz w:val="24"/>
          <w:szCs w:val="24"/>
          <w:lang w:val="fr-FR"/>
        </w:rPr>
        <w:t> :</w:t>
      </w:r>
      <w:r w:rsidRPr="006973B5">
        <w:rPr>
          <w:rFonts w:ascii="Times New Roman" w:hAnsi="Times New Roman" w:cs="Times New Roman"/>
          <w:sz w:val="24"/>
          <w:szCs w:val="24"/>
          <w:lang w:val="fr-FR"/>
        </w:rPr>
        <w:t xml:space="preserve"> Cette section vise à décrire la situation du marché du travail des jeunes (15-24 ans) au Mali. Il va produire des indicateurs fondamentaux du marché de travail, tels que le niveau global de l’emploi, taux d’activité, taux d’inactivité, taux de chômage et de sous-emplois ou informels, notamment, ventilés par sexe, niveau d’éducation, âge, géographique emplacement, situation économique, etc. Il comprendra également une première analyse économétrique des corrélats de résultats jeunes sur le marché du travail et les caractéristiques de la jeunesse. </w:t>
      </w:r>
    </w:p>
    <w:p w:rsidR="00016BC6" w:rsidRPr="006973B5" w:rsidRDefault="00016BC6" w:rsidP="000237E0">
      <w:pPr>
        <w:pStyle w:val="Normal0"/>
        <w:spacing w:line="276" w:lineRule="auto"/>
        <w:jc w:val="both"/>
        <w:rPr>
          <w:rFonts w:ascii="Times New Roman" w:hAnsi="Times New Roman" w:cs="Times New Roman"/>
          <w:sz w:val="24"/>
          <w:szCs w:val="24"/>
          <w:lang w:val="fr-FR"/>
        </w:rPr>
      </w:pPr>
      <w:r w:rsidRPr="006973B5">
        <w:rPr>
          <w:rFonts w:ascii="Times New Roman" w:hAnsi="Times New Roman" w:cs="Times New Roman"/>
          <w:b/>
          <w:i/>
          <w:sz w:val="24"/>
          <w:szCs w:val="24"/>
          <w:lang w:val="fr-FR"/>
        </w:rPr>
        <w:t>Accès des jeunes au marché du travail.</w:t>
      </w:r>
      <w:r w:rsidRPr="006973B5">
        <w:rPr>
          <w:rFonts w:ascii="Times New Roman" w:hAnsi="Times New Roman" w:cs="Times New Roman"/>
          <w:sz w:val="24"/>
          <w:szCs w:val="24"/>
          <w:lang w:val="fr-FR"/>
        </w:rPr>
        <w:t xml:space="preserve">  L’analyse portera surtout sur deux groupes principaux : les jeunes non scolarisés dans le système scolaire et non dans la population active et les jeunes chômeurs. Pris ensemble, ces groupes constituent la population des jeunes « NEET » (NEET signifie « pas en emploi, l’éducation ou formation » ; NEET est de plus en plus utilisé dans divers pays comme indicateur de la marginalisation des jeunes et des difficultés sur le marché du travail. Les jeunes avec ni compétence obtenue à l’école pour être employable, figurant ni dans la population active et particulièrement les jeunes garçons dans ce groupe, se trouvent fréquemment en marge de la société et le comportement plus vulnérable aux dangereux et violent.</w:t>
      </w:r>
    </w:p>
    <w:p w:rsidR="00016BC6" w:rsidRPr="006973B5" w:rsidRDefault="00016BC6" w:rsidP="000237E0">
      <w:pPr>
        <w:pStyle w:val="Normal0"/>
        <w:spacing w:line="276" w:lineRule="auto"/>
        <w:jc w:val="both"/>
        <w:rPr>
          <w:rFonts w:ascii="Times New Roman" w:hAnsi="Times New Roman" w:cs="Times New Roman"/>
          <w:sz w:val="24"/>
          <w:szCs w:val="24"/>
          <w:lang w:val="fr-FR"/>
        </w:rPr>
      </w:pPr>
      <w:r w:rsidRPr="006973B5">
        <w:rPr>
          <w:rFonts w:ascii="Times New Roman" w:hAnsi="Times New Roman" w:cs="Times New Roman"/>
          <w:b/>
          <w:i/>
          <w:sz w:val="24"/>
          <w:szCs w:val="24"/>
          <w:lang w:val="fr-FR"/>
        </w:rPr>
        <w:t>Position relative des jeunes sur le marché du travail.</w:t>
      </w:r>
      <w:r w:rsidRPr="006973B5">
        <w:rPr>
          <w:rFonts w:ascii="Times New Roman" w:hAnsi="Times New Roman" w:cs="Times New Roman"/>
          <w:sz w:val="24"/>
          <w:szCs w:val="24"/>
          <w:lang w:val="fr-FR"/>
        </w:rPr>
        <w:t xml:space="preserve"> Cette section décrit les principales différences dans les résultats sur le marché du travail entre les travailleurs jeunes et adultes. Comparant les caractéristiques du marché du travail et les caractéristiques des emplois entre les jeunes et les adultes et donner une indication de l’étendue à laquelle les jeunes travailleurs sont défavorisés par rapport à leurs homologues adultes à obtenir des emplois de qualité.</w:t>
      </w:r>
    </w:p>
    <w:p w:rsidR="00016BC6" w:rsidRPr="006973B5" w:rsidRDefault="00016BC6" w:rsidP="000237E0">
      <w:pPr>
        <w:pStyle w:val="Normal0"/>
        <w:spacing w:line="276" w:lineRule="auto"/>
        <w:jc w:val="both"/>
        <w:rPr>
          <w:rFonts w:ascii="Times New Roman" w:hAnsi="Times New Roman" w:cs="Times New Roman"/>
          <w:sz w:val="24"/>
          <w:szCs w:val="24"/>
          <w:lang w:val="fr-FR"/>
        </w:rPr>
      </w:pPr>
      <w:r w:rsidRPr="006973B5">
        <w:rPr>
          <w:rFonts w:ascii="Times New Roman" w:hAnsi="Times New Roman" w:cs="Times New Roman"/>
          <w:b/>
          <w:i/>
          <w:sz w:val="24"/>
          <w:szCs w:val="24"/>
          <w:lang w:val="fr-FR"/>
        </w:rPr>
        <w:t>Analyse du marché local :</w:t>
      </w:r>
      <w:r w:rsidRPr="006973B5">
        <w:rPr>
          <w:rFonts w:ascii="Times New Roman" w:hAnsi="Times New Roman" w:cs="Times New Roman"/>
          <w:sz w:val="24"/>
          <w:szCs w:val="24"/>
          <w:lang w:val="fr-FR"/>
        </w:rPr>
        <w:t xml:space="preserve"> Cette section va analyser les marchés locaux sélectionnés, Elle consiste à identifier les secteurs au niveau local qui ont le potentiel d’absorber les jeunes. Pour ce faire, l’analyse comprendra : (i) recherches documentaires sur l’économie du marché local sélectionné, d’identifier les points d’entrée dans certains secteurs ; (ii) travail qualitatif avec les principaux intervenants – les entreprises locales à savoir des syndicats, des entités gouvernementales et fournisseurs de service – sur les marchés locaux sélectionnés pour identifier les lacunes dans les compétences et  les services offerts par les jeunes et des possibilités d’emploi dans l’ensemble  pour les jeunes.</w:t>
      </w:r>
    </w:p>
    <w:p w:rsidR="0051201B" w:rsidRPr="006973B5" w:rsidRDefault="0051201B" w:rsidP="0051201B">
      <w:pPr>
        <w:spacing w:after="0"/>
        <w:jc w:val="both"/>
        <w:rPr>
          <w:rFonts w:ascii="Times New Roman" w:eastAsia="Calibri" w:hAnsi="Times New Roman" w:cs="Times New Roman"/>
          <w:b/>
          <w:color w:val="000000"/>
          <w:sz w:val="26"/>
          <w:szCs w:val="26"/>
        </w:rPr>
      </w:pPr>
    </w:p>
    <w:p w:rsidR="004D1637" w:rsidRPr="006973B5" w:rsidRDefault="00BA417C" w:rsidP="00937EDF">
      <w:pPr>
        <w:pStyle w:val="Titre2"/>
        <w:numPr>
          <w:ilvl w:val="0"/>
          <w:numId w:val="13"/>
        </w:numPr>
        <w:rPr>
          <w:rFonts w:ascii="Times New Roman" w:eastAsia="Calibri" w:hAnsi="Times New Roman" w:cs="Times New Roman"/>
          <w:b/>
          <w:color w:val="auto"/>
          <w:sz w:val="28"/>
        </w:rPr>
      </w:pPr>
      <w:bookmarkStart w:id="7" w:name="_Toc516676408"/>
      <w:r w:rsidRPr="006973B5">
        <w:rPr>
          <w:rFonts w:ascii="Times New Roman" w:eastAsia="Calibri" w:hAnsi="Times New Roman" w:cs="Times New Roman"/>
          <w:b/>
          <w:color w:val="auto"/>
          <w:sz w:val="28"/>
        </w:rPr>
        <w:t>Champs de l’étude et m</w:t>
      </w:r>
      <w:r w:rsidR="009B3C7D" w:rsidRPr="006973B5">
        <w:rPr>
          <w:rFonts w:ascii="Times New Roman" w:eastAsia="Calibri" w:hAnsi="Times New Roman" w:cs="Times New Roman"/>
          <w:b/>
          <w:color w:val="auto"/>
          <w:sz w:val="28"/>
        </w:rPr>
        <w:t>éthodologie</w:t>
      </w:r>
      <w:bookmarkEnd w:id="7"/>
      <w:r w:rsidR="009B3C7D" w:rsidRPr="006973B5">
        <w:rPr>
          <w:rFonts w:ascii="Times New Roman" w:eastAsia="Calibri" w:hAnsi="Times New Roman" w:cs="Times New Roman"/>
          <w:b/>
          <w:color w:val="auto"/>
          <w:sz w:val="28"/>
        </w:rPr>
        <w:t xml:space="preserve"> </w:t>
      </w:r>
    </w:p>
    <w:p w:rsidR="00B16ACC" w:rsidRPr="006973B5" w:rsidRDefault="00B16ACC" w:rsidP="00B16ACC">
      <w:pPr>
        <w:pStyle w:val="Paragraphedeliste"/>
        <w:spacing w:after="0"/>
        <w:jc w:val="both"/>
        <w:rPr>
          <w:rFonts w:ascii="Times New Roman" w:eastAsia="Calibri" w:hAnsi="Times New Roman" w:cs="Times New Roman"/>
          <w:b/>
          <w:color w:val="000000"/>
          <w:sz w:val="28"/>
          <w:szCs w:val="26"/>
        </w:rPr>
      </w:pPr>
    </w:p>
    <w:p w:rsidR="00B16ACC" w:rsidRPr="006973B5" w:rsidRDefault="00B16ACC" w:rsidP="00B16ACC">
      <w:pPr>
        <w:pStyle w:val="Paragraphedeliste"/>
        <w:numPr>
          <w:ilvl w:val="1"/>
          <w:numId w:val="10"/>
        </w:numPr>
        <w:spacing w:after="0"/>
        <w:jc w:val="both"/>
        <w:rPr>
          <w:rFonts w:ascii="Times New Roman" w:eastAsia="Calibri" w:hAnsi="Times New Roman" w:cs="Times New Roman"/>
          <w:b/>
          <w:i/>
          <w:color w:val="000000"/>
          <w:sz w:val="28"/>
          <w:szCs w:val="26"/>
        </w:rPr>
      </w:pPr>
      <w:r w:rsidRPr="006973B5">
        <w:rPr>
          <w:rFonts w:ascii="Times New Roman" w:eastAsia="Calibri" w:hAnsi="Times New Roman" w:cs="Times New Roman"/>
          <w:b/>
          <w:i/>
          <w:color w:val="000000"/>
          <w:sz w:val="28"/>
          <w:szCs w:val="26"/>
        </w:rPr>
        <w:t>Champs de l’étude</w:t>
      </w:r>
    </w:p>
    <w:p w:rsidR="00AA7558" w:rsidRPr="006973B5" w:rsidRDefault="00AA7558" w:rsidP="00AA7558">
      <w:pPr>
        <w:pStyle w:val="Paragraphedeliste"/>
        <w:spacing w:after="0"/>
        <w:jc w:val="both"/>
        <w:rPr>
          <w:rFonts w:ascii="Times New Roman" w:eastAsia="Calibri" w:hAnsi="Times New Roman" w:cs="Times New Roman"/>
          <w:b/>
          <w:color w:val="000000"/>
          <w:sz w:val="28"/>
          <w:szCs w:val="26"/>
        </w:rPr>
      </w:pPr>
    </w:p>
    <w:p w:rsidR="00BA417C" w:rsidRPr="006973B5" w:rsidRDefault="00BA417C" w:rsidP="00B16ACC">
      <w:pPr>
        <w:spacing w:after="0" w:line="276" w:lineRule="auto"/>
        <w:jc w:val="both"/>
        <w:rPr>
          <w:rFonts w:ascii="Times New Roman" w:hAnsi="Times New Roman" w:cs="Times New Roman"/>
          <w:sz w:val="24"/>
        </w:rPr>
      </w:pPr>
      <w:r w:rsidRPr="006973B5">
        <w:rPr>
          <w:rFonts w:ascii="Times New Roman" w:hAnsi="Times New Roman" w:cs="Times New Roman"/>
          <w:sz w:val="24"/>
        </w:rPr>
        <w:t>L’étude a porté sur les jeunes âgés de 15 à 24 ans. Nous avons uti</w:t>
      </w:r>
      <w:r w:rsidR="0049183F" w:rsidRPr="006973B5">
        <w:rPr>
          <w:rFonts w:ascii="Times New Roman" w:hAnsi="Times New Roman" w:cs="Times New Roman"/>
          <w:sz w:val="24"/>
        </w:rPr>
        <w:t xml:space="preserve">lisé dans cette étude, la définition retenue </w:t>
      </w:r>
      <w:r w:rsidR="00EF2C41" w:rsidRPr="006973B5">
        <w:rPr>
          <w:rFonts w:ascii="Times New Roman" w:hAnsi="Times New Roman" w:cs="Times New Roman"/>
          <w:sz w:val="24"/>
        </w:rPr>
        <w:t>par l’Organisation des Nations Unies (ONU)</w:t>
      </w:r>
      <w:r w:rsidR="0049183F" w:rsidRPr="006973B5">
        <w:rPr>
          <w:rFonts w:ascii="Times New Roman" w:hAnsi="Times New Roman" w:cs="Times New Roman"/>
          <w:sz w:val="24"/>
        </w:rPr>
        <w:t xml:space="preserve">, </w:t>
      </w:r>
      <w:r w:rsidR="00EF2C41" w:rsidRPr="006973B5">
        <w:rPr>
          <w:rFonts w:ascii="Times New Roman" w:hAnsi="Times New Roman" w:cs="Times New Roman"/>
          <w:sz w:val="24"/>
        </w:rPr>
        <w:t>s</w:t>
      </w:r>
      <w:r w:rsidR="0049183F" w:rsidRPr="006973B5">
        <w:rPr>
          <w:rFonts w:ascii="Times New Roman" w:hAnsi="Times New Roman" w:cs="Times New Roman"/>
          <w:sz w:val="24"/>
        </w:rPr>
        <w:t>elon laquelle</w:t>
      </w:r>
      <w:r w:rsidR="00246CD3" w:rsidRPr="006973B5">
        <w:rPr>
          <w:rFonts w:ascii="Times New Roman" w:hAnsi="Times New Roman" w:cs="Times New Roman"/>
          <w:sz w:val="24"/>
        </w:rPr>
        <w:t>,</w:t>
      </w:r>
      <w:r w:rsidR="0049183F" w:rsidRPr="006973B5">
        <w:rPr>
          <w:rFonts w:ascii="Times New Roman" w:hAnsi="Times New Roman" w:cs="Times New Roman"/>
          <w:sz w:val="24"/>
        </w:rPr>
        <w:t> </w:t>
      </w:r>
      <w:r w:rsidR="00EF2C41" w:rsidRPr="006973B5">
        <w:rPr>
          <w:rFonts w:ascii="Times New Roman" w:hAnsi="Times New Roman" w:cs="Times New Roman"/>
          <w:sz w:val="24"/>
        </w:rPr>
        <w:t>d</w:t>
      </w:r>
      <w:r w:rsidR="004016AA" w:rsidRPr="006973B5">
        <w:rPr>
          <w:rFonts w:ascii="Times New Roman" w:hAnsi="Times New Roman" w:cs="Times New Roman"/>
          <w:sz w:val="24"/>
        </w:rPr>
        <w:t xml:space="preserve">u point de vue biologique, la jeunesse </w:t>
      </w:r>
      <w:r w:rsidR="00246CD3" w:rsidRPr="006973B5">
        <w:rPr>
          <w:rFonts w:ascii="Times New Roman" w:hAnsi="Times New Roman" w:cs="Times New Roman"/>
          <w:sz w:val="24"/>
        </w:rPr>
        <w:t xml:space="preserve">est définie </w:t>
      </w:r>
      <w:r w:rsidR="004016AA" w:rsidRPr="006973B5">
        <w:rPr>
          <w:rFonts w:ascii="Times New Roman" w:hAnsi="Times New Roman" w:cs="Times New Roman"/>
          <w:sz w:val="24"/>
        </w:rPr>
        <w:t>comme le groupe des personnes âgées de 15 -24 ans dans la population d'un pays</w:t>
      </w:r>
      <w:r w:rsidR="0049183F" w:rsidRPr="006973B5">
        <w:rPr>
          <w:rFonts w:ascii="Times New Roman" w:hAnsi="Times New Roman" w:cs="Times New Roman"/>
          <w:sz w:val="24"/>
        </w:rPr>
        <w:t xml:space="preserve">.  </w:t>
      </w:r>
      <w:r w:rsidR="00246CD3" w:rsidRPr="006973B5">
        <w:rPr>
          <w:rFonts w:ascii="Times New Roman" w:hAnsi="Times New Roman" w:cs="Times New Roman"/>
          <w:sz w:val="24"/>
        </w:rPr>
        <w:t xml:space="preserve">L’analyse diagnostique faite à partir des données de l’enquête, a porté sur cette tranche de la </w:t>
      </w:r>
      <w:r w:rsidR="00246CD3" w:rsidRPr="006973B5">
        <w:rPr>
          <w:rFonts w:ascii="Times New Roman" w:hAnsi="Times New Roman" w:cs="Times New Roman"/>
          <w:sz w:val="24"/>
        </w:rPr>
        <w:lastRenderedPageBreak/>
        <w:t xml:space="preserve">population. </w:t>
      </w:r>
      <w:r w:rsidR="0049183F" w:rsidRPr="006973B5">
        <w:rPr>
          <w:rFonts w:ascii="Times New Roman" w:hAnsi="Times New Roman" w:cs="Times New Roman"/>
          <w:sz w:val="24"/>
        </w:rPr>
        <w:t>Une enquête qualitative a été réalisée auprès des principaux acteurs du marché du travail. Il s’agit principalement des employeurs, des structures étatiques, des organisations professionnelles et des ONG</w:t>
      </w:r>
      <w:r w:rsidR="00246CD3" w:rsidRPr="006973B5">
        <w:rPr>
          <w:rFonts w:ascii="Times New Roman" w:hAnsi="Times New Roman" w:cs="Times New Roman"/>
          <w:sz w:val="24"/>
        </w:rPr>
        <w:t>.</w:t>
      </w:r>
      <w:r w:rsidR="0049183F" w:rsidRPr="006973B5">
        <w:rPr>
          <w:rFonts w:ascii="Times New Roman" w:hAnsi="Times New Roman" w:cs="Times New Roman"/>
          <w:sz w:val="24"/>
        </w:rPr>
        <w:t xml:space="preserve"> Cette collecte d’information visait à recueillir les perceptions et opinions des acteurs, non seulement sur les potentialités économiques des régions, mais aussi leur avis sur la promotion de l’emploi des jeunes qui</w:t>
      </w:r>
      <w:r w:rsidR="00246CD3" w:rsidRPr="006973B5">
        <w:rPr>
          <w:rFonts w:ascii="Times New Roman" w:hAnsi="Times New Roman" w:cs="Times New Roman"/>
          <w:sz w:val="24"/>
        </w:rPr>
        <w:t xml:space="preserve"> sont</w:t>
      </w:r>
      <w:r w:rsidR="0049183F" w:rsidRPr="006973B5">
        <w:rPr>
          <w:rFonts w:ascii="Times New Roman" w:hAnsi="Times New Roman" w:cs="Times New Roman"/>
          <w:sz w:val="24"/>
        </w:rPr>
        <w:t xml:space="preserve"> une des couches les plus </w:t>
      </w:r>
      <w:r w:rsidR="00246CD3" w:rsidRPr="006973B5">
        <w:rPr>
          <w:rFonts w:ascii="Times New Roman" w:hAnsi="Times New Roman" w:cs="Times New Roman"/>
          <w:sz w:val="24"/>
        </w:rPr>
        <w:t>touchées par le chômage</w:t>
      </w:r>
      <w:r w:rsidR="0049183F" w:rsidRPr="006973B5">
        <w:rPr>
          <w:rFonts w:ascii="Times New Roman" w:hAnsi="Times New Roman" w:cs="Times New Roman"/>
          <w:sz w:val="24"/>
        </w:rPr>
        <w:t>. L’étude s’est fiscalisée surtout sur les régions de Kayes, Sikasso, Ségou, Mopti et le District de Bamako. Le choix de ces localités s’explique</w:t>
      </w:r>
      <w:r w:rsidR="00B16ACC" w:rsidRPr="006973B5">
        <w:rPr>
          <w:rFonts w:ascii="Times New Roman" w:hAnsi="Times New Roman" w:cs="Times New Roman"/>
          <w:sz w:val="24"/>
        </w:rPr>
        <w:t xml:space="preserve"> par leur position géographique sur la carte et le problème d’insécurité.</w:t>
      </w:r>
    </w:p>
    <w:p w:rsidR="00AA7558" w:rsidRPr="006973B5" w:rsidRDefault="00AA7558" w:rsidP="00AA7558">
      <w:pPr>
        <w:spacing w:after="0"/>
        <w:jc w:val="both"/>
        <w:rPr>
          <w:rFonts w:ascii="Times New Roman" w:eastAsia="Calibri" w:hAnsi="Times New Roman" w:cs="Times New Roman"/>
          <w:b/>
          <w:color w:val="000000"/>
          <w:sz w:val="28"/>
          <w:szCs w:val="26"/>
        </w:rPr>
      </w:pPr>
    </w:p>
    <w:p w:rsidR="00B16ACC" w:rsidRPr="006973B5" w:rsidRDefault="0015454C" w:rsidP="00B16ACC">
      <w:pPr>
        <w:pStyle w:val="Paragraphedeliste"/>
        <w:numPr>
          <w:ilvl w:val="1"/>
          <w:numId w:val="10"/>
        </w:numPr>
        <w:spacing w:after="0"/>
        <w:jc w:val="both"/>
        <w:rPr>
          <w:rFonts w:ascii="Times New Roman" w:eastAsia="Calibri" w:hAnsi="Times New Roman" w:cs="Times New Roman"/>
          <w:b/>
          <w:i/>
          <w:color w:val="000000"/>
          <w:sz w:val="28"/>
          <w:szCs w:val="26"/>
        </w:rPr>
      </w:pPr>
      <w:r w:rsidRPr="006973B5">
        <w:rPr>
          <w:rFonts w:ascii="Times New Roman" w:eastAsia="Calibri" w:hAnsi="Times New Roman" w:cs="Times New Roman"/>
          <w:b/>
          <w:i/>
          <w:color w:val="000000"/>
          <w:sz w:val="28"/>
          <w:szCs w:val="26"/>
        </w:rPr>
        <w:t xml:space="preserve">Les données utilisées dans le cadre de </w:t>
      </w:r>
      <w:r w:rsidR="008F2AC5" w:rsidRPr="006973B5">
        <w:rPr>
          <w:rFonts w:ascii="Times New Roman" w:eastAsia="Calibri" w:hAnsi="Times New Roman" w:cs="Times New Roman"/>
          <w:b/>
          <w:i/>
          <w:color w:val="000000"/>
          <w:sz w:val="28"/>
          <w:szCs w:val="26"/>
        </w:rPr>
        <w:t>cette étude</w:t>
      </w:r>
    </w:p>
    <w:p w:rsidR="00FA0BDE" w:rsidRPr="006973B5" w:rsidRDefault="00FA0BDE" w:rsidP="00B16ACC">
      <w:pPr>
        <w:spacing w:after="0"/>
        <w:jc w:val="both"/>
        <w:rPr>
          <w:rFonts w:ascii="Times New Roman" w:hAnsi="Times New Roman" w:cs="Times New Roman"/>
          <w:sz w:val="24"/>
        </w:rPr>
      </w:pPr>
    </w:p>
    <w:p w:rsidR="0011132B" w:rsidRPr="006973B5" w:rsidRDefault="00B16ACC" w:rsidP="00FA553C">
      <w:pPr>
        <w:spacing w:after="0" w:line="276" w:lineRule="auto"/>
        <w:jc w:val="both"/>
        <w:rPr>
          <w:rFonts w:ascii="Times New Roman" w:hAnsi="Times New Roman" w:cs="Times New Roman"/>
          <w:sz w:val="24"/>
        </w:rPr>
      </w:pPr>
      <w:r w:rsidRPr="006973B5">
        <w:rPr>
          <w:rFonts w:ascii="Times New Roman" w:hAnsi="Times New Roman" w:cs="Times New Roman"/>
          <w:sz w:val="24"/>
        </w:rPr>
        <w:t xml:space="preserve">Les données analysées dans l’étude proviennent des </w:t>
      </w:r>
      <w:r w:rsidR="007E230A" w:rsidRPr="006973B5">
        <w:rPr>
          <w:rFonts w:ascii="Times New Roman" w:hAnsi="Times New Roman" w:cs="Times New Roman"/>
          <w:sz w:val="24"/>
        </w:rPr>
        <w:t>deux enquêtes. La première est l’Enquête Modulaire et Permanente auprès des Ménages</w:t>
      </w:r>
      <w:r w:rsidR="00FA0BDE" w:rsidRPr="006973B5">
        <w:rPr>
          <w:rFonts w:ascii="Times New Roman" w:hAnsi="Times New Roman" w:cs="Times New Roman"/>
          <w:sz w:val="24"/>
        </w:rPr>
        <w:t xml:space="preserve"> (EMOP)</w:t>
      </w:r>
      <w:r w:rsidR="007E230A" w:rsidRPr="006973B5">
        <w:rPr>
          <w:rFonts w:ascii="Times New Roman" w:hAnsi="Times New Roman" w:cs="Times New Roman"/>
          <w:sz w:val="24"/>
        </w:rPr>
        <w:t xml:space="preserve">. </w:t>
      </w:r>
      <w:r w:rsidR="002E5469" w:rsidRPr="006973B5">
        <w:rPr>
          <w:rFonts w:ascii="Times New Roman" w:hAnsi="Times New Roman" w:cs="Times New Roman"/>
          <w:sz w:val="24"/>
        </w:rPr>
        <w:t>Cette enquête est un dispositif mis en place par l’Institut National de la Statistique pour le suivi des indicateurs de pauvreté au Mali. Elle est effectuée en quatre passage</w:t>
      </w:r>
      <w:r w:rsidR="00AD3E3E">
        <w:rPr>
          <w:rFonts w:ascii="Times New Roman" w:hAnsi="Times New Roman" w:cs="Times New Roman"/>
          <w:sz w:val="24"/>
        </w:rPr>
        <w:t>s</w:t>
      </w:r>
      <w:r w:rsidR="002E5469" w:rsidRPr="006973B5">
        <w:rPr>
          <w:rFonts w:ascii="Times New Roman" w:hAnsi="Times New Roman" w:cs="Times New Roman"/>
          <w:sz w:val="24"/>
        </w:rPr>
        <w:t xml:space="preserve"> auprès des ménages. Les données sur l’emploi au Mali sont collectées lors du </w:t>
      </w:r>
      <w:r w:rsidR="00FA0BDE" w:rsidRPr="006973B5">
        <w:rPr>
          <w:rFonts w:ascii="Times New Roman" w:hAnsi="Times New Roman" w:cs="Times New Roman"/>
          <w:sz w:val="24"/>
          <w:szCs w:val="26"/>
        </w:rPr>
        <w:t xml:space="preserve">troisième passage. Les données </w:t>
      </w:r>
      <w:r w:rsidR="002E5469" w:rsidRPr="006973B5">
        <w:rPr>
          <w:rFonts w:ascii="Times New Roman" w:hAnsi="Times New Roman" w:cs="Times New Roman"/>
          <w:sz w:val="24"/>
          <w:szCs w:val="26"/>
        </w:rPr>
        <w:t>de ce troisième passage</w:t>
      </w:r>
      <w:r w:rsidR="0011132B" w:rsidRPr="006973B5">
        <w:rPr>
          <w:rFonts w:ascii="Times New Roman" w:hAnsi="Times New Roman" w:cs="Times New Roman"/>
          <w:sz w:val="24"/>
          <w:szCs w:val="26"/>
        </w:rPr>
        <w:t xml:space="preserve"> sont utilisées par l’ONEF pour produire le rapport national sur l’emploi.</w:t>
      </w:r>
      <w:r w:rsidR="00FA0BDE" w:rsidRPr="006973B5">
        <w:rPr>
          <w:rFonts w:ascii="Times New Roman" w:hAnsi="Times New Roman" w:cs="Times New Roman"/>
          <w:sz w:val="24"/>
        </w:rPr>
        <w:t xml:space="preserve"> </w:t>
      </w:r>
    </w:p>
    <w:p w:rsidR="0011132B" w:rsidRPr="006973B5" w:rsidRDefault="0011132B" w:rsidP="00FA553C">
      <w:pPr>
        <w:spacing w:after="0" w:line="276" w:lineRule="auto"/>
        <w:jc w:val="both"/>
        <w:rPr>
          <w:rFonts w:ascii="Times New Roman" w:hAnsi="Times New Roman" w:cs="Times New Roman"/>
          <w:sz w:val="24"/>
        </w:rPr>
      </w:pPr>
    </w:p>
    <w:p w:rsidR="00FA0BDE" w:rsidRPr="006973B5" w:rsidRDefault="00FA0BDE" w:rsidP="0011132B">
      <w:pPr>
        <w:spacing w:after="0" w:line="276" w:lineRule="auto"/>
        <w:jc w:val="both"/>
        <w:rPr>
          <w:rFonts w:ascii="Times New Roman" w:hAnsi="Times New Roman" w:cs="Times New Roman"/>
          <w:sz w:val="24"/>
        </w:rPr>
      </w:pPr>
      <w:r w:rsidRPr="006973B5">
        <w:rPr>
          <w:rFonts w:ascii="Times New Roman" w:hAnsi="Times New Roman" w:cs="Times New Roman"/>
          <w:sz w:val="24"/>
        </w:rPr>
        <w:t xml:space="preserve">L’EMOP est une enquête par sondage stratifiée à deux degrés à allocation proportionnelle au premier degré. Les </w:t>
      </w:r>
      <w:r w:rsidR="00242AF2" w:rsidRPr="006973B5">
        <w:rPr>
          <w:rFonts w:ascii="Times New Roman" w:hAnsi="Times New Roman" w:cs="Times New Roman"/>
          <w:sz w:val="24"/>
        </w:rPr>
        <w:t>huit</w:t>
      </w:r>
      <w:r w:rsidRPr="006973B5">
        <w:rPr>
          <w:rFonts w:ascii="Times New Roman" w:hAnsi="Times New Roman" w:cs="Times New Roman"/>
          <w:sz w:val="24"/>
        </w:rPr>
        <w:t xml:space="preserve"> régions du Mali et la ville de Bamako constituent les domaines d’études. L’échantillon estimé à 7 200 ménages, est représentatif selon le milieu de résidence de la population (urbain et rural) ainsi qu’au niveau des huit (8) régions et le district de Bamako. </w:t>
      </w:r>
    </w:p>
    <w:p w:rsidR="00FA0BDE" w:rsidRPr="006973B5" w:rsidRDefault="00FA0BDE" w:rsidP="00FA0BDE">
      <w:pPr>
        <w:pStyle w:val="Default"/>
        <w:jc w:val="both"/>
        <w:rPr>
          <w:color w:val="auto"/>
          <w:szCs w:val="26"/>
        </w:rPr>
      </w:pPr>
    </w:p>
    <w:p w:rsidR="00FA0BDE" w:rsidRPr="006973B5" w:rsidRDefault="00FA0BDE" w:rsidP="00FA553C">
      <w:pPr>
        <w:pStyle w:val="Default"/>
        <w:spacing w:line="276" w:lineRule="auto"/>
        <w:jc w:val="both"/>
        <w:rPr>
          <w:color w:val="auto"/>
          <w:szCs w:val="26"/>
        </w:rPr>
      </w:pPr>
      <w:r w:rsidRPr="006973B5">
        <w:rPr>
          <w:color w:val="auto"/>
          <w:szCs w:val="26"/>
        </w:rPr>
        <w:t>Au premier degré, les unités primaires (sections d’énumération) sont tirées indépendamment dans chaque strate avec une probabilité proportionnelle à leur taille en ménages. Au second degré, les ménages sont tirés à probabilité égale dans la liste des ménages établit après dénombrement de la S</w:t>
      </w:r>
      <w:r w:rsidR="0011132B" w:rsidRPr="006973B5">
        <w:rPr>
          <w:color w:val="auto"/>
          <w:szCs w:val="26"/>
        </w:rPr>
        <w:t>ection d’Enumération (SE)</w:t>
      </w:r>
      <w:r w:rsidRPr="006973B5">
        <w:rPr>
          <w:color w:val="auto"/>
          <w:szCs w:val="26"/>
        </w:rPr>
        <w:t xml:space="preserve">. Excepté la région de Kidal, dans chaque unité primaire (UP), un nombre constant de six (6) ménages est tiré au second degré. </w:t>
      </w:r>
      <w:r w:rsidR="00FA553C" w:rsidRPr="006973B5">
        <w:rPr>
          <w:color w:val="auto"/>
          <w:szCs w:val="26"/>
        </w:rPr>
        <w:t xml:space="preserve">Mais en 2017 </w:t>
      </w:r>
      <w:r w:rsidRPr="006973B5">
        <w:rPr>
          <w:color w:val="auto"/>
          <w:szCs w:val="26"/>
        </w:rPr>
        <w:t>la région de Kidal et certains autres SE ont été exclues pour raisons de sécurité. Le nombre de ménages a été réduit à 6192, dont 6091 ont participé au 3</w:t>
      </w:r>
      <w:r w:rsidR="003C32D1" w:rsidRPr="006973B5">
        <w:rPr>
          <w:color w:val="auto"/>
          <w:szCs w:val="26"/>
          <w:vertAlign w:val="superscript"/>
        </w:rPr>
        <w:t>ème</w:t>
      </w:r>
      <w:r w:rsidR="003C32D1" w:rsidRPr="006973B5">
        <w:rPr>
          <w:color w:val="auto"/>
          <w:szCs w:val="26"/>
        </w:rPr>
        <w:t xml:space="preserve"> </w:t>
      </w:r>
      <w:r w:rsidRPr="006973B5">
        <w:rPr>
          <w:color w:val="auto"/>
          <w:szCs w:val="26"/>
        </w:rPr>
        <w:t xml:space="preserve">passage. </w:t>
      </w:r>
    </w:p>
    <w:p w:rsidR="00FA0BDE" w:rsidRPr="006973B5" w:rsidRDefault="00FA0BDE" w:rsidP="00B16ACC">
      <w:pPr>
        <w:spacing w:after="0"/>
        <w:jc w:val="both"/>
        <w:rPr>
          <w:rFonts w:ascii="Times New Roman" w:hAnsi="Times New Roman" w:cs="Times New Roman"/>
          <w:sz w:val="24"/>
        </w:rPr>
      </w:pPr>
    </w:p>
    <w:p w:rsidR="00B16ACC" w:rsidRPr="006973B5" w:rsidRDefault="00FA553C" w:rsidP="00FA553C">
      <w:pPr>
        <w:spacing w:after="0" w:line="276" w:lineRule="auto"/>
        <w:jc w:val="both"/>
        <w:rPr>
          <w:rFonts w:ascii="Times New Roman" w:hAnsi="Times New Roman" w:cs="Times New Roman"/>
          <w:sz w:val="24"/>
        </w:rPr>
      </w:pPr>
      <w:r w:rsidRPr="006973B5">
        <w:rPr>
          <w:rFonts w:ascii="Times New Roman" w:hAnsi="Times New Roman" w:cs="Times New Roman"/>
          <w:sz w:val="24"/>
        </w:rPr>
        <w:t xml:space="preserve">L’enquête </w:t>
      </w:r>
      <w:r w:rsidR="0011132B" w:rsidRPr="006973B5">
        <w:rPr>
          <w:rFonts w:ascii="Times New Roman" w:hAnsi="Times New Roman" w:cs="Times New Roman"/>
          <w:sz w:val="24"/>
        </w:rPr>
        <w:t xml:space="preserve">emploi </w:t>
      </w:r>
      <w:r w:rsidRPr="006973B5">
        <w:rPr>
          <w:rFonts w:ascii="Times New Roman" w:hAnsi="Times New Roman" w:cs="Times New Roman"/>
          <w:sz w:val="24"/>
        </w:rPr>
        <w:t xml:space="preserve">est réalisée chaque année depuis </w:t>
      </w:r>
      <w:r w:rsidR="00776477" w:rsidRPr="006973B5">
        <w:rPr>
          <w:rFonts w:ascii="Times New Roman" w:hAnsi="Times New Roman" w:cs="Times New Roman"/>
          <w:sz w:val="24"/>
        </w:rPr>
        <w:t>2013</w:t>
      </w:r>
      <w:r w:rsidR="0011132B" w:rsidRPr="006973B5">
        <w:rPr>
          <w:rFonts w:ascii="Times New Roman" w:hAnsi="Times New Roman" w:cs="Times New Roman"/>
          <w:sz w:val="24"/>
        </w:rPr>
        <w:t xml:space="preserve"> à travers ce dispositif</w:t>
      </w:r>
      <w:r w:rsidRPr="006973B5">
        <w:rPr>
          <w:rFonts w:ascii="Times New Roman" w:hAnsi="Times New Roman" w:cs="Times New Roman"/>
          <w:sz w:val="24"/>
        </w:rPr>
        <w:t xml:space="preserve">. Nous avons </w:t>
      </w:r>
      <w:r w:rsidR="007B5AA0" w:rsidRPr="006973B5">
        <w:rPr>
          <w:rFonts w:ascii="Times New Roman" w:hAnsi="Times New Roman" w:cs="Times New Roman"/>
          <w:sz w:val="24"/>
        </w:rPr>
        <w:t>dans un premier temps analysé les données de 2013 à 2017</w:t>
      </w:r>
      <w:r w:rsidR="005E2DDD" w:rsidRPr="006973B5">
        <w:rPr>
          <w:rFonts w:ascii="Times New Roman" w:hAnsi="Times New Roman" w:cs="Times New Roman"/>
          <w:sz w:val="24"/>
        </w:rPr>
        <w:t xml:space="preserve"> </w:t>
      </w:r>
      <w:r w:rsidR="007B5AA0" w:rsidRPr="006973B5">
        <w:rPr>
          <w:rFonts w:ascii="Times New Roman" w:hAnsi="Times New Roman" w:cs="Times New Roman"/>
          <w:sz w:val="24"/>
        </w:rPr>
        <w:t xml:space="preserve">pour examiner </w:t>
      </w:r>
      <w:r w:rsidR="005E2DDD" w:rsidRPr="006973B5">
        <w:rPr>
          <w:rFonts w:ascii="Times New Roman" w:hAnsi="Times New Roman" w:cs="Times New Roman"/>
          <w:sz w:val="24"/>
        </w:rPr>
        <w:t xml:space="preserve">la </w:t>
      </w:r>
      <w:r w:rsidR="00387838" w:rsidRPr="006973B5">
        <w:rPr>
          <w:rFonts w:ascii="Times New Roman" w:hAnsi="Times New Roman" w:cs="Times New Roman"/>
          <w:sz w:val="24"/>
        </w:rPr>
        <w:t>tend</w:t>
      </w:r>
      <w:r w:rsidR="005E2DDD" w:rsidRPr="006973B5">
        <w:rPr>
          <w:rFonts w:ascii="Times New Roman" w:hAnsi="Times New Roman" w:cs="Times New Roman"/>
          <w:sz w:val="24"/>
        </w:rPr>
        <w:t>ance des principaux indicateurs de l’emploi des jeunes (taux d’emploi, taux de chômage, taux de sous-emploi, etc.)</w:t>
      </w:r>
      <w:r w:rsidR="000E4B47" w:rsidRPr="006973B5">
        <w:rPr>
          <w:rFonts w:ascii="Times New Roman" w:hAnsi="Times New Roman" w:cs="Times New Roman"/>
          <w:sz w:val="24"/>
        </w:rPr>
        <w:t>, avant de consacrer la deuxième partie de l’étude à l’analyse des données de 2017.</w:t>
      </w:r>
    </w:p>
    <w:p w:rsidR="00004198" w:rsidRPr="006973B5" w:rsidRDefault="00004198" w:rsidP="00B16ACC">
      <w:pPr>
        <w:spacing w:after="0"/>
        <w:jc w:val="both"/>
        <w:rPr>
          <w:rFonts w:ascii="Times New Roman" w:hAnsi="Times New Roman" w:cs="Times New Roman"/>
          <w:sz w:val="24"/>
        </w:rPr>
      </w:pPr>
    </w:p>
    <w:p w:rsidR="003C5A10" w:rsidRPr="006973B5" w:rsidRDefault="000E4B47" w:rsidP="0015454C">
      <w:pPr>
        <w:spacing w:after="0" w:line="276" w:lineRule="auto"/>
        <w:jc w:val="both"/>
        <w:rPr>
          <w:rFonts w:ascii="Times New Roman" w:hAnsi="Times New Roman" w:cs="Times New Roman"/>
          <w:sz w:val="24"/>
        </w:rPr>
      </w:pPr>
      <w:r w:rsidRPr="006973B5">
        <w:rPr>
          <w:rFonts w:ascii="Times New Roman" w:hAnsi="Times New Roman" w:cs="Times New Roman"/>
          <w:sz w:val="24"/>
        </w:rPr>
        <w:t>Une</w:t>
      </w:r>
      <w:r w:rsidR="005E2DDD" w:rsidRPr="006973B5">
        <w:rPr>
          <w:rFonts w:ascii="Times New Roman" w:hAnsi="Times New Roman" w:cs="Times New Roman"/>
          <w:sz w:val="24"/>
        </w:rPr>
        <w:t xml:space="preserve"> deuxième enquête</w:t>
      </w:r>
      <w:r w:rsidR="006C0E28" w:rsidRPr="006973B5">
        <w:rPr>
          <w:rFonts w:ascii="Times New Roman" w:hAnsi="Times New Roman" w:cs="Times New Roman"/>
          <w:sz w:val="24"/>
        </w:rPr>
        <w:t xml:space="preserve">, </w:t>
      </w:r>
      <w:r w:rsidR="005E2DDD" w:rsidRPr="006973B5">
        <w:rPr>
          <w:rFonts w:ascii="Times New Roman" w:hAnsi="Times New Roman" w:cs="Times New Roman"/>
          <w:sz w:val="24"/>
        </w:rPr>
        <w:t>purement qualitative</w:t>
      </w:r>
      <w:r w:rsidR="006C0E28" w:rsidRPr="006973B5">
        <w:rPr>
          <w:rFonts w:ascii="Times New Roman" w:hAnsi="Times New Roman" w:cs="Times New Roman"/>
          <w:sz w:val="24"/>
        </w:rPr>
        <w:t xml:space="preserve"> a été réalisée dans le cadre cette étude</w:t>
      </w:r>
      <w:r w:rsidR="005E2DDD" w:rsidRPr="006973B5">
        <w:rPr>
          <w:rFonts w:ascii="Times New Roman" w:hAnsi="Times New Roman" w:cs="Times New Roman"/>
          <w:sz w:val="24"/>
        </w:rPr>
        <w:t xml:space="preserve">. </w:t>
      </w:r>
      <w:r w:rsidR="006C0E28" w:rsidRPr="006973B5">
        <w:rPr>
          <w:rFonts w:ascii="Times New Roman" w:hAnsi="Times New Roman" w:cs="Times New Roman"/>
          <w:sz w:val="24"/>
        </w:rPr>
        <w:t xml:space="preserve">Les données ont été collectées </w:t>
      </w:r>
      <w:r w:rsidR="005E2DDD" w:rsidRPr="006973B5">
        <w:rPr>
          <w:rFonts w:ascii="Times New Roman" w:hAnsi="Times New Roman" w:cs="Times New Roman"/>
          <w:sz w:val="24"/>
        </w:rPr>
        <w:t>auprès des principaux acteurs du marché du travail au niveau des régions de Kayes, Sikasso, Ségou, Mopti et le District de Bamako.</w:t>
      </w:r>
      <w:r w:rsidR="0058378F" w:rsidRPr="006973B5">
        <w:rPr>
          <w:rFonts w:ascii="Times New Roman" w:hAnsi="Times New Roman" w:cs="Times New Roman"/>
          <w:sz w:val="24"/>
        </w:rPr>
        <w:t xml:space="preserve"> Cette enquête visait à recueillir</w:t>
      </w:r>
      <w:r w:rsidR="009245C3" w:rsidRPr="006973B5">
        <w:rPr>
          <w:rFonts w:ascii="Times New Roman" w:hAnsi="Times New Roman" w:cs="Times New Roman"/>
          <w:sz w:val="24"/>
        </w:rPr>
        <w:t xml:space="preserve"> l</w:t>
      </w:r>
      <w:r w:rsidR="003C32D1" w:rsidRPr="006973B5">
        <w:rPr>
          <w:rFonts w:ascii="Times New Roman" w:hAnsi="Times New Roman" w:cs="Times New Roman"/>
          <w:sz w:val="24"/>
        </w:rPr>
        <w:t>’o</w:t>
      </w:r>
      <w:r w:rsidR="009245C3" w:rsidRPr="006973B5">
        <w:rPr>
          <w:rFonts w:ascii="Times New Roman" w:hAnsi="Times New Roman" w:cs="Times New Roman"/>
          <w:sz w:val="24"/>
        </w:rPr>
        <w:t>pinion</w:t>
      </w:r>
      <w:r w:rsidR="003C32D1" w:rsidRPr="006973B5">
        <w:rPr>
          <w:rFonts w:ascii="Times New Roman" w:hAnsi="Times New Roman" w:cs="Times New Roman"/>
          <w:sz w:val="24"/>
        </w:rPr>
        <w:t xml:space="preserve"> des acteurs</w:t>
      </w:r>
      <w:r w:rsidR="009245C3" w:rsidRPr="006973B5">
        <w:rPr>
          <w:rFonts w:ascii="Times New Roman" w:hAnsi="Times New Roman" w:cs="Times New Roman"/>
          <w:sz w:val="24"/>
        </w:rPr>
        <w:t xml:space="preserve"> afin d’identifier les potentialités économiques des régions concernées par l’étude et les principaux obstacles à l’employabilité des jeunes.</w:t>
      </w:r>
      <w:r w:rsidR="00D228CC" w:rsidRPr="006973B5">
        <w:rPr>
          <w:rFonts w:ascii="Times New Roman" w:hAnsi="Times New Roman" w:cs="Times New Roman"/>
          <w:sz w:val="24"/>
        </w:rPr>
        <w:t xml:space="preserve"> </w:t>
      </w:r>
      <w:r w:rsidR="003C5A10" w:rsidRPr="006973B5">
        <w:rPr>
          <w:rFonts w:ascii="Times New Roman" w:hAnsi="Times New Roman" w:cs="Times New Roman"/>
          <w:sz w:val="24"/>
        </w:rPr>
        <w:t xml:space="preserve">Les acteurs </w:t>
      </w:r>
      <w:r w:rsidR="00D228CC" w:rsidRPr="006973B5">
        <w:rPr>
          <w:rFonts w:ascii="Times New Roman" w:hAnsi="Times New Roman" w:cs="Times New Roman"/>
          <w:sz w:val="24"/>
        </w:rPr>
        <w:t xml:space="preserve">ont été choisis en fonction de leur expertise sur les questions d’emplois des jeunes et de leur </w:t>
      </w:r>
      <w:r w:rsidR="003C5A10" w:rsidRPr="006973B5">
        <w:rPr>
          <w:rFonts w:ascii="Times New Roman" w:hAnsi="Times New Roman" w:cs="Times New Roman"/>
          <w:sz w:val="24"/>
        </w:rPr>
        <w:t>connaissance des réalités économiques des localités dans lesquelles ils évoluent.</w:t>
      </w:r>
    </w:p>
    <w:p w:rsidR="003C5A10" w:rsidRPr="006973B5" w:rsidRDefault="003C5A10" w:rsidP="0015454C">
      <w:pPr>
        <w:spacing w:after="0" w:line="276" w:lineRule="auto"/>
        <w:jc w:val="both"/>
        <w:rPr>
          <w:rFonts w:ascii="Times New Roman" w:hAnsi="Times New Roman" w:cs="Times New Roman"/>
          <w:sz w:val="24"/>
        </w:rPr>
      </w:pPr>
    </w:p>
    <w:p w:rsidR="00004198" w:rsidRPr="006973B5" w:rsidRDefault="003C5A10" w:rsidP="0015454C">
      <w:pPr>
        <w:spacing w:after="0" w:line="276" w:lineRule="auto"/>
        <w:jc w:val="both"/>
        <w:rPr>
          <w:rFonts w:ascii="Times New Roman" w:hAnsi="Times New Roman" w:cs="Times New Roman"/>
          <w:sz w:val="24"/>
        </w:rPr>
      </w:pPr>
      <w:r w:rsidRPr="006973B5">
        <w:rPr>
          <w:rFonts w:ascii="Times New Roman" w:hAnsi="Times New Roman" w:cs="Times New Roman"/>
          <w:sz w:val="24"/>
        </w:rPr>
        <w:t xml:space="preserve">Les données de ces deux  enquêtes ont été complétées par la revue documentaire. </w:t>
      </w:r>
      <w:r w:rsidR="00D228CC" w:rsidRPr="006973B5">
        <w:rPr>
          <w:rFonts w:ascii="Times New Roman" w:hAnsi="Times New Roman" w:cs="Times New Roman"/>
          <w:sz w:val="24"/>
        </w:rPr>
        <w:t xml:space="preserve">  </w:t>
      </w:r>
      <w:r w:rsidR="00F27C6E" w:rsidRPr="006973B5">
        <w:rPr>
          <w:rFonts w:ascii="Times New Roman" w:hAnsi="Times New Roman" w:cs="Times New Roman"/>
          <w:sz w:val="24"/>
        </w:rPr>
        <w:t xml:space="preserve">Depuis les années 2000, la décentralisation s’oriente de plus en plus vers de nouveaux défis et se présente comme un </w:t>
      </w:r>
      <w:r w:rsidR="00F27C6E" w:rsidRPr="006973B5">
        <w:rPr>
          <w:rFonts w:ascii="Times New Roman" w:hAnsi="Times New Roman" w:cs="Times New Roman"/>
          <w:sz w:val="24"/>
        </w:rPr>
        <w:lastRenderedPageBreak/>
        <w:t>facteur de progrès qui ambitionnent de mettre davantage l’accent sur l’économique et le productif afin de booster le développement local</w:t>
      </w:r>
      <w:r w:rsidR="002D557A" w:rsidRPr="006973B5">
        <w:rPr>
          <w:rFonts w:ascii="Times New Roman" w:hAnsi="Times New Roman" w:cs="Times New Roman"/>
          <w:sz w:val="24"/>
        </w:rPr>
        <w:t>. C’est dans ce cadre qu’une série d’études a été réalisée sur le diagnostic des secteurs économiques porteurs et espace économique partagés dans les régions de Kayes, Koulikoro, Sikasso, Ségou et Mopti.</w:t>
      </w:r>
      <w:r w:rsidR="006228F5" w:rsidRPr="006973B5">
        <w:rPr>
          <w:rFonts w:ascii="Times New Roman" w:hAnsi="Times New Roman" w:cs="Times New Roman"/>
          <w:sz w:val="24"/>
        </w:rPr>
        <w:t xml:space="preserve"> En plus de ces études, chaque région </w:t>
      </w:r>
      <w:r w:rsidR="004F468A" w:rsidRPr="006973B5">
        <w:rPr>
          <w:rFonts w:ascii="Times New Roman" w:hAnsi="Times New Roman" w:cs="Times New Roman"/>
          <w:sz w:val="24"/>
        </w:rPr>
        <w:t xml:space="preserve">a élaboré un </w:t>
      </w:r>
      <w:r w:rsidR="006228F5" w:rsidRPr="006973B5">
        <w:rPr>
          <w:rFonts w:ascii="Times New Roman" w:hAnsi="Times New Roman" w:cs="Times New Roman"/>
          <w:sz w:val="24"/>
        </w:rPr>
        <w:t xml:space="preserve">plan stratégique de développement qui a permis de faire le diagnostic des potentialités économiques de la </w:t>
      </w:r>
      <w:r w:rsidR="005109FA" w:rsidRPr="006973B5">
        <w:rPr>
          <w:rFonts w:ascii="Times New Roman" w:hAnsi="Times New Roman" w:cs="Times New Roman"/>
          <w:sz w:val="24"/>
        </w:rPr>
        <w:t>région</w:t>
      </w:r>
      <w:r w:rsidR="006228F5" w:rsidRPr="006973B5">
        <w:rPr>
          <w:rFonts w:ascii="Times New Roman" w:hAnsi="Times New Roman" w:cs="Times New Roman"/>
          <w:sz w:val="24"/>
        </w:rPr>
        <w:t xml:space="preserve"> et de projeter les actions futures à réaliser</w:t>
      </w:r>
      <w:r w:rsidR="00A57DBF" w:rsidRPr="006973B5">
        <w:rPr>
          <w:rFonts w:ascii="Times New Roman" w:hAnsi="Times New Roman" w:cs="Times New Roman"/>
          <w:sz w:val="24"/>
        </w:rPr>
        <w:t>. Ces différentes études ont été d’un apport inestimable dans la réalisation de la présente étude.</w:t>
      </w:r>
      <w:r w:rsidR="007F0A2D" w:rsidRPr="006973B5">
        <w:rPr>
          <w:rFonts w:ascii="Times New Roman" w:hAnsi="Times New Roman" w:cs="Times New Roman"/>
          <w:sz w:val="24"/>
        </w:rPr>
        <w:t xml:space="preserve"> </w:t>
      </w:r>
    </w:p>
    <w:p w:rsidR="00D36048" w:rsidRPr="006973B5" w:rsidRDefault="00D36048" w:rsidP="0015454C">
      <w:pPr>
        <w:spacing w:after="0" w:line="276" w:lineRule="auto"/>
        <w:jc w:val="both"/>
        <w:rPr>
          <w:rFonts w:ascii="Times New Roman" w:hAnsi="Times New Roman" w:cs="Times New Roman"/>
          <w:sz w:val="24"/>
        </w:rPr>
      </w:pPr>
    </w:p>
    <w:p w:rsidR="00D36048" w:rsidRPr="006973B5" w:rsidRDefault="00D36048" w:rsidP="00D36048">
      <w:pPr>
        <w:pStyle w:val="Paragraphedeliste"/>
        <w:numPr>
          <w:ilvl w:val="1"/>
          <w:numId w:val="10"/>
        </w:numPr>
        <w:spacing w:after="0"/>
        <w:jc w:val="both"/>
        <w:rPr>
          <w:rFonts w:ascii="Times New Roman" w:eastAsia="Calibri" w:hAnsi="Times New Roman" w:cs="Times New Roman"/>
          <w:b/>
          <w:i/>
          <w:color w:val="000000"/>
          <w:sz w:val="28"/>
          <w:szCs w:val="26"/>
        </w:rPr>
      </w:pPr>
      <w:bookmarkStart w:id="8" w:name="_Toc479922700"/>
      <w:r w:rsidRPr="006973B5">
        <w:rPr>
          <w:rFonts w:ascii="Times New Roman" w:eastAsia="Calibri" w:hAnsi="Times New Roman" w:cs="Times New Roman"/>
          <w:b/>
          <w:i/>
          <w:color w:val="000000"/>
          <w:sz w:val="28"/>
          <w:szCs w:val="26"/>
        </w:rPr>
        <w:t>Organisation de la collecte</w:t>
      </w:r>
      <w:bookmarkEnd w:id="8"/>
      <w:r w:rsidRPr="006973B5">
        <w:rPr>
          <w:rFonts w:ascii="Times New Roman" w:eastAsia="Calibri" w:hAnsi="Times New Roman" w:cs="Times New Roman"/>
          <w:b/>
          <w:i/>
          <w:color w:val="000000"/>
          <w:sz w:val="28"/>
          <w:szCs w:val="26"/>
        </w:rPr>
        <w:t> </w:t>
      </w:r>
    </w:p>
    <w:p w:rsidR="00D36048" w:rsidRPr="006973B5" w:rsidRDefault="00D36048" w:rsidP="00D36048">
      <w:pPr>
        <w:spacing w:after="0" w:line="240" w:lineRule="auto"/>
        <w:jc w:val="both"/>
        <w:rPr>
          <w:rFonts w:ascii="Arial" w:hAnsi="Arial" w:cs="Arial"/>
          <w:sz w:val="24"/>
          <w:szCs w:val="24"/>
        </w:rPr>
      </w:pPr>
    </w:p>
    <w:p w:rsidR="00C74EB5" w:rsidRPr="006973B5" w:rsidRDefault="00D36048" w:rsidP="00D36048">
      <w:pPr>
        <w:spacing w:after="0" w:line="276" w:lineRule="auto"/>
        <w:jc w:val="both"/>
        <w:rPr>
          <w:rFonts w:ascii="Times New Roman" w:hAnsi="Times New Roman" w:cs="Times New Roman"/>
          <w:sz w:val="24"/>
        </w:rPr>
      </w:pPr>
      <w:r w:rsidRPr="006973B5">
        <w:rPr>
          <w:rFonts w:ascii="Times New Roman" w:hAnsi="Times New Roman" w:cs="Times New Roman"/>
          <w:sz w:val="24"/>
        </w:rPr>
        <w:t xml:space="preserve">La collecte relative aux données </w:t>
      </w:r>
      <w:r w:rsidR="00C74EB5" w:rsidRPr="006973B5">
        <w:rPr>
          <w:rFonts w:ascii="Times New Roman" w:hAnsi="Times New Roman" w:cs="Times New Roman"/>
          <w:sz w:val="24"/>
        </w:rPr>
        <w:t xml:space="preserve">qualitatives </w:t>
      </w:r>
      <w:r w:rsidRPr="006973B5">
        <w:rPr>
          <w:rFonts w:ascii="Times New Roman" w:hAnsi="Times New Roman" w:cs="Times New Roman"/>
          <w:sz w:val="24"/>
        </w:rPr>
        <w:t xml:space="preserve">a été réalisée sur une période </w:t>
      </w:r>
      <w:r w:rsidR="001F23F2" w:rsidRPr="006973B5">
        <w:rPr>
          <w:rFonts w:ascii="Times New Roman" w:hAnsi="Times New Roman" w:cs="Times New Roman"/>
          <w:sz w:val="24"/>
        </w:rPr>
        <w:t>de 15</w:t>
      </w:r>
      <w:r w:rsidRPr="006973B5">
        <w:rPr>
          <w:rFonts w:ascii="Times New Roman" w:hAnsi="Times New Roman" w:cs="Times New Roman"/>
          <w:sz w:val="24"/>
        </w:rPr>
        <w:t xml:space="preserve"> jours. </w:t>
      </w:r>
      <w:r w:rsidR="00C74EB5" w:rsidRPr="006973B5">
        <w:rPr>
          <w:rFonts w:ascii="Times New Roman" w:hAnsi="Times New Roman" w:cs="Times New Roman"/>
          <w:sz w:val="24"/>
        </w:rPr>
        <w:t xml:space="preserve">Les acteurs ont été interviewés face à face à l’aide de deux types de questionnaires. Un premier questionnaire a été adressé aux employeurs. Le deuxième a </w:t>
      </w:r>
      <w:r w:rsidR="001F23F2" w:rsidRPr="006973B5">
        <w:rPr>
          <w:rFonts w:ascii="Times New Roman" w:hAnsi="Times New Roman" w:cs="Times New Roman"/>
          <w:sz w:val="24"/>
        </w:rPr>
        <w:t>été administré</w:t>
      </w:r>
      <w:r w:rsidR="00C74EB5" w:rsidRPr="006973B5">
        <w:rPr>
          <w:rFonts w:ascii="Times New Roman" w:hAnsi="Times New Roman" w:cs="Times New Roman"/>
          <w:sz w:val="24"/>
        </w:rPr>
        <w:t xml:space="preserve"> auprès des structures étatiques, des organisations professionnelles, des ONG. Les enquêteurs ont été sélectionnés et formés sur place.  </w:t>
      </w:r>
      <w:r w:rsidR="0009735E" w:rsidRPr="006973B5">
        <w:rPr>
          <w:rFonts w:ascii="Times New Roman" w:hAnsi="Times New Roman" w:cs="Times New Roman"/>
          <w:sz w:val="24"/>
        </w:rPr>
        <w:t>Après la phase de collecte, les données ont été saisies sur CSPro et analysées avec le logiciel SPSS</w:t>
      </w:r>
      <w:r w:rsidR="00C74EB5" w:rsidRPr="006973B5">
        <w:rPr>
          <w:rFonts w:ascii="Times New Roman" w:hAnsi="Times New Roman" w:cs="Times New Roman"/>
          <w:sz w:val="24"/>
        </w:rPr>
        <w:t>.</w:t>
      </w:r>
    </w:p>
    <w:p w:rsidR="00C74EB5" w:rsidRPr="006973B5" w:rsidRDefault="00C74EB5" w:rsidP="00D36048">
      <w:pPr>
        <w:spacing w:after="0" w:line="276" w:lineRule="auto"/>
        <w:jc w:val="both"/>
        <w:rPr>
          <w:rFonts w:ascii="Times New Roman" w:hAnsi="Times New Roman" w:cs="Times New Roman"/>
          <w:sz w:val="24"/>
        </w:rPr>
      </w:pPr>
    </w:p>
    <w:p w:rsidR="00D36048" w:rsidRPr="006973B5" w:rsidRDefault="00D36048" w:rsidP="0015454C">
      <w:pPr>
        <w:spacing w:after="0" w:line="276" w:lineRule="auto"/>
        <w:jc w:val="both"/>
        <w:rPr>
          <w:rFonts w:ascii="Times New Roman" w:hAnsi="Times New Roman" w:cs="Times New Roman"/>
          <w:sz w:val="24"/>
        </w:rPr>
      </w:pPr>
    </w:p>
    <w:p w:rsidR="00D36048" w:rsidRPr="006973B5" w:rsidRDefault="00D36048" w:rsidP="0015454C">
      <w:pPr>
        <w:spacing w:after="0" w:line="276" w:lineRule="auto"/>
        <w:jc w:val="both"/>
        <w:rPr>
          <w:rFonts w:ascii="Times New Roman" w:hAnsi="Times New Roman" w:cs="Times New Roman"/>
          <w:sz w:val="24"/>
        </w:rPr>
      </w:pPr>
    </w:p>
    <w:p w:rsidR="00D36048" w:rsidRPr="006973B5" w:rsidRDefault="00D36048" w:rsidP="0015454C">
      <w:pPr>
        <w:spacing w:after="0" w:line="276" w:lineRule="auto"/>
        <w:jc w:val="both"/>
        <w:rPr>
          <w:rFonts w:ascii="Times New Roman" w:hAnsi="Times New Roman" w:cs="Times New Roman"/>
          <w:sz w:val="24"/>
        </w:rPr>
      </w:pPr>
    </w:p>
    <w:p w:rsidR="00D36048" w:rsidRPr="006973B5" w:rsidRDefault="00D36048" w:rsidP="0015454C">
      <w:pPr>
        <w:spacing w:after="0" w:line="276" w:lineRule="auto"/>
        <w:jc w:val="both"/>
        <w:rPr>
          <w:rFonts w:ascii="Times New Roman" w:hAnsi="Times New Roman" w:cs="Times New Roman"/>
          <w:sz w:val="24"/>
        </w:rPr>
      </w:pPr>
    </w:p>
    <w:p w:rsidR="00396B74" w:rsidRPr="006973B5" w:rsidRDefault="00396B74" w:rsidP="0015454C">
      <w:pPr>
        <w:spacing w:after="0" w:line="276" w:lineRule="auto"/>
        <w:jc w:val="both"/>
        <w:rPr>
          <w:rFonts w:ascii="Times New Roman" w:hAnsi="Times New Roman" w:cs="Times New Roman"/>
          <w:sz w:val="24"/>
        </w:rPr>
      </w:pPr>
    </w:p>
    <w:p w:rsidR="00396B74" w:rsidRPr="006973B5" w:rsidRDefault="00396B74" w:rsidP="0015454C">
      <w:pPr>
        <w:spacing w:after="0" w:line="276" w:lineRule="auto"/>
        <w:jc w:val="both"/>
        <w:rPr>
          <w:rFonts w:ascii="Times New Roman" w:hAnsi="Times New Roman" w:cs="Times New Roman"/>
          <w:sz w:val="24"/>
        </w:rPr>
      </w:pPr>
    </w:p>
    <w:p w:rsidR="00396B74" w:rsidRPr="006973B5" w:rsidRDefault="00396B74" w:rsidP="0015454C">
      <w:pPr>
        <w:spacing w:after="0" w:line="276" w:lineRule="auto"/>
        <w:jc w:val="both"/>
        <w:rPr>
          <w:rFonts w:ascii="Times New Roman" w:hAnsi="Times New Roman" w:cs="Times New Roman"/>
          <w:sz w:val="24"/>
        </w:rPr>
      </w:pPr>
    </w:p>
    <w:p w:rsidR="00396B74" w:rsidRPr="006973B5" w:rsidRDefault="00396B74" w:rsidP="0015454C">
      <w:pPr>
        <w:spacing w:after="0" w:line="276" w:lineRule="auto"/>
        <w:jc w:val="both"/>
        <w:rPr>
          <w:rFonts w:ascii="Times New Roman" w:hAnsi="Times New Roman" w:cs="Times New Roman"/>
          <w:sz w:val="24"/>
        </w:rPr>
      </w:pPr>
    </w:p>
    <w:p w:rsidR="00396B74" w:rsidRPr="006973B5" w:rsidRDefault="00396B74" w:rsidP="0015454C">
      <w:pPr>
        <w:spacing w:after="0" w:line="276" w:lineRule="auto"/>
        <w:jc w:val="both"/>
        <w:rPr>
          <w:rFonts w:ascii="Times New Roman" w:hAnsi="Times New Roman" w:cs="Times New Roman"/>
          <w:sz w:val="24"/>
        </w:rPr>
      </w:pPr>
    </w:p>
    <w:p w:rsidR="00396B74" w:rsidRPr="006973B5" w:rsidRDefault="00396B74" w:rsidP="0015454C">
      <w:pPr>
        <w:spacing w:after="0" w:line="276" w:lineRule="auto"/>
        <w:jc w:val="both"/>
        <w:rPr>
          <w:rFonts w:ascii="Times New Roman" w:hAnsi="Times New Roman" w:cs="Times New Roman"/>
          <w:sz w:val="24"/>
        </w:rPr>
      </w:pPr>
    </w:p>
    <w:p w:rsidR="00396B74" w:rsidRPr="006973B5" w:rsidRDefault="00396B74" w:rsidP="0015454C">
      <w:pPr>
        <w:spacing w:after="0" w:line="276" w:lineRule="auto"/>
        <w:jc w:val="both"/>
        <w:rPr>
          <w:rFonts w:ascii="Times New Roman" w:hAnsi="Times New Roman" w:cs="Times New Roman"/>
          <w:sz w:val="24"/>
        </w:rPr>
      </w:pPr>
    </w:p>
    <w:p w:rsidR="00396B74" w:rsidRPr="006973B5" w:rsidRDefault="00396B74" w:rsidP="0015454C">
      <w:pPr>
        <w:spacing w:after="0" w:line="276" w:lineRule="auto"/>
        <w:jc w:val="both"/>
        <w:rPr>
          <w:rFonts w:ascii="Times New Roman" w:hAnsi="Times New Roman" w:cs="Times New Roman"/>
          <w:sz w:val="24"/>
        </w:rPr>
      </w:pPr>
    </w:p>
    <w:p w:rsidR="00396B74" w:rsidRPr="006973B5" w:rsidRDefault="00396B74" w:rsidP="0015454C">
      <w:pPr>
        <w:spacing w:after="0" w:line="276" w:lineRule="auto"/>
        <w:jc w:val="both"/>
        <w:rPr>
          <w:rFonts w:ascii="Times New Roman" w:hAnsi="Times New Roman" w:cs="Times New Roman"/>
          <w:sz w:val="24"/>
        </w:rPr>
      </w:pPr>
    </w:p>
    <w:p w:rsidR="00396B74" w:rsidRPr="006973B5" w:rsidRDefault="00396B74" w:rsidP="0015454C">
      <w:pPr>
        <w:spacing w:after="0" w:line="276" w:lineRule="auto"/>
        <w:jc w:val="both"/>
        <w:rPr>
          <w:rFonts w:ascii="Times New Roman" w:hAnsi="Times New Roman" w:cs="Times New Roman"/>
          <w:sz w:val="24"/>
        </w:rPr>
      </w:pPr>
    </w:p>
    <w:p w:rsidR="00396B74" w:rsidRPr="006973B5" w:rsidRDefault="00396B74" w:rsidP="0015454C">
      <w:pPr>
        <w:spacing w:after="0" w:line="276" w:lineRule="auto"/>
        <w:jc w:val="both"/>
        <w:rPr>
          <w:rFonts w:ascii="Times New Roman" w:hAnsi="Times New Roman" w:cs="Times New Roman"/>
          <w:sz w:val="24"/>
        </w:rPr>
      </w:pPr>
    </w:p>
    <w:p w:rsidR="00396B74" w:rsidRPr="006973B5" w:rsidRDefault="00396B74" w:rsidP="0015454C">
      <w:pPr>
        <w:spacing w:after="0" w:line="276" w:lineRule="auto"/>
        <w:jc w:val="both"/>
        <w:rPr>
          <w:rFonts w:ascii="Times New Roman" w:hAnsi="Times New Roman" w:cs="Times New Roman"/>
          <w:sz w:val="24"/>
        </w:rPr>
      </w:pPr>
    </w:p>
    <w:p w:rsidR="00396B74" w:rsidRPr="006973B5" w:rsidRDefault="00396B74" w:rsidP="0015454C">
      <w:pPr>
        <w:spacing w:after="0" w:line="276" w:lineRule="auto"/>
        <w:jc w:val="both"/>
        <w:rPr>
          <w:rFonts w:ascii="Times New Roman" w:hAnsi="Times New Roman" w:cs="Times New Roman"/>
          <w:sz w:val="24"/>
        </w:rPr>
      </w:pPr>
    </w:p>
    <w:p w:rsidR="00396B74" w:rsidRPr="006973B5" w:rsidRDefault="00396B74" w:rsidP="0015454C">
      <w:pPr>
        <w:spacing w:after="0" w:line="276" w:lineRule="auto"/>
        <w:jc w:val="both"/>
        <w:rPr>
          <w:rFonts w:ascii="Times New Roman" w:hAnsi="Times New Roman" w:cs="Times New Roman"/>
          <w:sz w:val="24"/>
        </w:rPr>
      </w:pPr>
    </w:p>
    <w:p w:rsidR="00396B74" w:rsidRPr="006973B5" w:rsidRDefault="00396B74" w:rsidP="0015454C">
      <w:pPr>
        <w:spacing w:after="0" w:line="276" w:lineRule="auto"/>
        <w:jc w:val="both"/>
        <w:rPr>
          <w:rFonts w:ascii="Times New Roman" w:hAnsi="Times New Roman" w:cs="Times New Roman"/>
          <w:sz w:val="24"/>
        </w:rPr>
      </w:pPr>
    </w:p>
    <w:p w:rsidR="00396B74" w:rsidRPr="006973B5" w:rsidRDefault="00396B74" w:rsidP="0015454C">
      <w:pPr>
        <w:spacing w:after="0" w:line="276" w:lineRule="auto"/>
        <w:jc w:val="both"/>
        <w:rPr>
          <w:rFonts w:ascii="Times New Roman" w:hAnsi="Times New Roman" w:cs="Times New Roman"/>
          <w:sz w:val="24"/>
        </w:rPr>
      </w:pPr>
    </w:p>
    <w:p w:rsidR="00396B74" w:rsidRPr="006973B5" w:rsidRDefault="00396B74" w:rsidP="0015454C">
      <w:pPr>
        <w:spacing w:after="0" w:line="276" w:lineRule="auto"/>
        <w:jc w:val="both"/>
        <w:rPr>
          <w:rFonts w:ascii="Times New Roman" w:hAnsi="Times New Roman" w:cs="Times New Roman"/>
          <w:sz w:val="24"/>
        </w:rPr>
      </w:pPr>
    </w:p>
    <w:p w:rsidR="00396B74" w:rsidRPr="006973B5" w:rsidRDefault="00396B74" w:rsidP="0015454C">
      <w:pPr>
        <w:spacing w:after="0" w:line="276" w:lineRule="auto"/>
        <w:jc w:val="both"/>
        <w:rPr>
          <w:rFonts w:ascii="Times New Roman" w:hAnsi="Times New Roman" w:cs="Times New Roman"/>
          <w:sz w:val="24"/>
        </w:rPr>
      </w:pPr>
    </w:p>
    <w:p w:rsidR="00396B74" w:rsidRPr="006973B5" w:rsidRDefault="00396B74" w:rsidP="0015454C">
      <w:pPr>
        <w:spacing w:after="0" w:line="276" w:lineRule="auto"/>
        <w:jc w:val="both"/>
        <w:rPr>
          <w:rFonts w:ascii="Times New Roman" w:hAnsi="Times New Roman" w:cs="Times New Roman"/>
          <w:sz w:val="24"/>
        </w:rPr>
      </w:pPr>
    </w:p>
    <w:p w:rsidR="00D36048" w:rsidRPr="006973B5" w:rsidRDefault="00D36048" w:rsidP="0015454C">
      <w:pPr>
        <w:spacing w:after="0" w:line="276" w:lineRule="auto"/>
        <w:jc w:val="both"/>
        <w:rPr>
          <w:rFonts w:ascii="Times New Roman" w:hAnsi="Times New Roman" w:cs="Times New Roman"/>
          <w:sz w:val="24"/>
        </w:rPr>
      </w:pPr>
    </w:p>
    <w:p w:rsidR="00D36048" w:rsidRPr="006973B5" w:rsidRDefault="00D36048" w:rsidP="0015454C">
      <w:pPr>
        <w:spacing w:after="0" w:line="276" w:lineRule="auto"/>
        <w:jc w:val="both"/>
        <w:rPr>
          <w:rFonts w:ascii="Times New Roman" w:hAnsi="Times New Roman" w:cs="Times New Roman"/>
          <w:sz w:val="24"/>
        </w:rPr>
      </w:pPr>
    </w:p>
    <w:p w:rsidR="00D36048" w:rsidRPr="006973B5" w:rsidRDefault="00D36048" w:rsidP="0015454C">
      <w:pPr>
        <w:spacing w:after="0" w:line="276" w:lineRule="auto"/>
        <w:jc w:val="both"/>
        <w:rPr>
          <w:rFonts w:ascii="Times New Roman" w:hAnsi="Times New Roman" w:cs="Times New Roman"/>
          <w:sz w:val="24"/>
        </w:rPr>
      </w:pPr>
    </w:p>
    <w:p w:rsidR="00D36048" w:rsidRPr="006973B5" w:rsidRDefault="00D36048" w:rsidP="0015454C">
      <w:pPr>
        <w:spacing w:after="0" w:line="276" w:lineRule="auto"/>
        <w:jc w:val="both"/>
        <w:rPr>
          <w:rFonts w:ascii="Times New Roman" w:hAnsi="Times New Roman" w:cs="Times New Roman"/>
          <w:sz w:val="24"/>
        </w:rPr>
      </w:pPr>
    </w:p>
    <w:p w:rsidR="009539C3" w:rsidRPr="006973B5" w:rsidRDefault="009539C3" w:rsidP="00937EDF">
      <w:pPr>
        <w:pStyle w:val="Titre1"/>
        <w:rPr>
          <w:rFonts w:ascii="Times New Roman" w:eastAsia="Times New Roman" w:hAnsi="Times New Roman" w:cs="Times New Roman"/>
          <w:b/>
          <w:color w:val="auto"/>
          <w:lang w:eastAsia="fr-FR"/>
        </w:rPr>
      </w:pPr>
      <w:bookmarkStart w:id="9" w:name="_Toc511311779"/>
      <w:bookmarkStart w:id="10" w:name="_Toc516676409"/>
      <w:r w:rsidRPr="006973B5">
        <w:rPr>
          <w:rFonts w:ascii="Times New Roman" w:eastAsia="Times New Roman" w:hAnsi="Times New Roman" w:cs="Times New Roman"/>
          <w:b/>
          <w:color w:val="auto"/>
          <w:lang w:eastAsia="fr-FR"/>
        </w:rPr>
        <w:lastRenderedPageBreak/>
        <w:t xml:space="preserve">1.   </w:t>
      </w:r>
      <w:r w:rsidR="000F7168" w:rsidRPr="006973B5">
        <w:rPr>
          <w:rFonts w:ascii="Times New Roman" w:eastAsia="Times New Roman" w:hAnsi="Times New Roman" w:cs="Times New Roman"/>
          <w:b/>
          <w:color w:val="auto"/>
          <w:lang w:eastAsia="fr-FR"/>
        </w:rPr>
        <w:t xml:space="preserve">Evolution et caractéristiques des jeunes sur le </w:t>
      </w:r>
      <w:bookmarkEnd w:id="9"/>
      <w:r w:rsidR="000F7168" w:rsidRPr="006973B5">
        <w:rPr>
          <w:rFonts w:ascii="Times New Roman" w:eastAsia="Times New Roman" w:hAnsi="Times New Roman" w:cs="Times New Roman"/>
          <w:b/>
          <w:color w:val="auto"/>
          <w:lang w:eastAsia="fr-FR"/>
        </w:rPr>
        <w:t>marché du travail</w:t>
      </w:r>
      <w:bookmarkEnd w:id="10"/>
    </w:p>
    <w:p w:rsidR="00ED6FC0" w:rsidRPr="006973B5" w:rsidRDefault="00ED6FC0" w:rsidP="007A0F56">
      <w:pPr>
        <w:spacing w:after="0"/>
        <w:rPr>
          <w:rFonts w:ascii="Times New Roman" w:hAnsi="Times New Roman" w:cs="Times New Roman"/>
          <w:sz w:val="20"/>
          <w:szCs w:val="20"/>
        </w:rPr>
      </w:pPr>
    </w:p>
    <w:p w:rsidR="000F7168" w:rsidRPr="006973B5" w:rsidRDefault="000F7168" w:rsidP="000F7168"/>
    <w:p w:rsidR="00094577" w:rsidRPr="006973B5" w:rsidRDefault="000F7168" w:rsidP="00937EDF">
      <w:pPr>
        <w:pStyle w:val="Titre2"/>
        <w:numPr>
          <w:ilvl w:val="1"/>
          <w:numId w:val="14"/>
        </w:numPr>
        <w:rPr>
          <w:rFonts w:ascii="Times New Roman" w:hAnsi="Times New Roman" w:cs="Times New Roman"/>
          <w:b/>
          <w:color w:val="auto"/>
          <w:sz w:val="28"/>
        </w:rPr>
      </w:pPr>
      <w:bookmarkStart w:id="11" w:name="_Toc516676410"/>
      <w:r w:rsidRPr="006973B5">
        <w:rPr>
          <w:rFonts w:ascii="Times New Roman" w:hAnsi="Times New Roman" w:cs="Times New Roman"/>
          <w:b/>
          <w:color w:val="auto"/>
          <w:sz w:val="28"/>
        </w:rPr>
        <w:t>Evolution globale</w:t>
      </w:r>
      <w:bookmarkEnd w:id="11"/>
      <w:r w:rsidR="00094577" w:rsidRPr="006973B5">
        <w:rPr>
          <w:rFonts w:ascii="Times New Roman" w:hAnsi="Times New Roman" w:cs="Times New Roman"/>
          <w:b/>
          <w:color w:val="auto"/>
          <w:sz w:val="28"/>
        </w:rPr>
        <w:t xml:space="preserve"> </w:t>
      </w:r>
    </w:p>
    <w:p w:rsidR="00094577" w:rsidRPr="006973B5" w:rsidRDefault="00094577">
      <w:pPr>
        <w:rPr>
          <w:rFonts w:ascii="Times New Roman" w:hAnsi="Times New Roman" w:cs="Times New Roman"/>
          <w:bCs/>
          <w:iCs/>
          <w:sz w:val="20"/>
          <w:szCs w:val="20"/>
        </w:rPr>
      </w:pPr>
    </w:p>
    <w:p w:rsidR="00793A63" w:rsidRPr="006973B5" w:rsidRDefault="004B2433" w:rsidP="00681732">
      <w:pPr>
        <w:spacing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Dans cette section, nous analysons </w:t>
      </w:r>
      <w:r w:rsidR="0080391D" w:rsidRPr="006973B5">
        <w:rPr>
          <w:rFonts w:ascii="Times New Roman" w:hAnsi="Times New Roman" w:cs="Times New Roman"/>
          <w:bCs/>
          <w:iCs/>
          <w:sz w:val="24"/>
          <w:szCs w:val="20"/>
        </w:rPr>
        <w:t>l’évolution</w:t>
      </w:r>
      <w:r w:rsidR="0073274E" w:rsidRPr="006973B5">
        <w:rPr>
          <w:rFonts w:ascii="Times New Roman" w:hAnsi="Times New Roman" w:cs="Times New Roman"/>
          <w:bCs/>
          <w:iCs/>
          <w:sz w:val="24"/>
          <w:szCs w:val="20"/>
        </w:rPr>
        <w:t xml:space="preserve"> globale des principaux indicateurs qui caractérisent la situation des jeunes sur le marché du travail, c</w:t>
      </w:r>
      <w:r w:rsidRPr="006973B5">
        <w:rPr>
          <w:rFonts w:ascii="Times New Roman" w:hAnsi="Times New Roman" w:cs="Times New Roman"/>
          <w:bCs/>
          <w:iCs/>
          <w:sz w:val="24"/>
          <w:szCs w:val="20"/>
        </w:rPr>
        <w:t>omme</w:t>
      </w:r>
      <w:r w:rsidR="0080391D" w:rsidRPr="006973B5">
        <w:rPr>
          <w:rFonts w:ascii="Times New Roman" w:hAnsi="Times New Roman" w:cs="Times New Roman"/>
          <w:bCs/>
          <w:iCs/>
          <w:sz w:val="24"/>
          <w:szCs w:val="20"/>
        </w:rPr>
        <w:t> :</w:t>
      </w:r>
      <w:r w:rsidRPr="006973B5">
        <w:rPr>
          <w:rFonts w:ascii="Times New Roman" w:hAnsi="Times New Roman" w:cs="Times New Roman"/>
          <w:bCs/>
          <w:iCs/>
          <w:sz w:val="24"/>
          <w:szCs w:val="20"/>
        </w:rPr>
        <w:t xml:space="preserve"> le taux d’emploi, le taux de chômage, le taux d’inactivité et le taux de sous-emploi</w:t>
      </w:r>
      <w:r w:rsidR="002F4588" w:rsidRPr="006973B5">
        <w:rPr>
          <w:rFonts w:ascii="Times New Roman" w:hAnsi="Times New Roman" w:cs="Times New Roman"/>
          <w:bCs/>
          <w:iCs/>
          <w:sz w:val="24"/>
          <w:szCs w:val="20"/>
        </w:rPr>
        <w:t>.</w:t>
      </w:r>
    </w:p>
    <w:p w:rsidR="00C65F42" w:rsidRPr="006973B5" w:rsidRDefault="007827CC" w:rsidP="002F4588">
      <w:pPr>
        <w:spacing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Le taux d’emploi </w:t>
      </w:r>
      <w:r w:rsidR="00ED4EF1" w:rsidRPr="006973B5">
        <w:rPr>
          <w:rFonts w:ascii="Times New Roman" w:hAnsi="Times New Roman" w:cs="Times New Roman"/>
          <w:bCs/>
          <w:iCs/>
          <w:sz w:val="24"/>
          <w:szCs w:val="20"/>
        </w:rPr>
        <w:t xml:space="preserve">des jeunes de 15 à 24 ans </w:t>
      </w:r>
      <w:r w:rsidRPr="006973B5">
        <w:rPr>
          <w:rFonts w:ascii="Times New Roman" w:hAnsi="Times New Roman" w:cs="Times New Roman"/>
          <w:bCs/>
          <w:iCs/>
          <w:sz w:val="24"/>
          <w:szCs w:val="20"/>
        </w:rPr>
        <w:t>a baissé de 2013 à 2017, passant de 62,9% à 47,3%</w:t>
      </w:r>
      <w:r w:rsidR="00ED4EF1" w:rsidRPr="006973B5">
        <w:rPr>
          <w:rFonts w:ascii="Times New Roman" w:hAnsi="Times New Roman" w:cs="Times New Roman"/>
          <w:bCs/>
          <w:iCs/>
          <w:sz w:val="24"/>
          <w:szCs w:val="20"/>
        </w:rPr>
        <w:t>, soit une diminution de 15,6 points en quatre ans.</w:t>
      </w:r>
      <w:r w:rsidRPr="006973B5">
        <w:rPr>
          <w:rFonts w:ascii="Times New Roman" w:hAnsi="Times New Roman" w:cs="Times New Roman"/>
          <w:bCs/>
          <w:iCs/>
          <w:sz w:val="24"/>
          <w:szCs w:val="20"/>
        </w:rPr>
        <w:t xml:space="preserve"> </w:t>
      </w:r>
      <w:r w:rsidR="00F9043A" w:rsidRPr="006973B5">
        <w:rPr>
          <w:rFonts w:ascii="Times New Roman" w:hAnsi="Times New Roman" w:cs="Times New Roman"/>
          <w:bCs/>
          <w:iCs/>
          <w:sz w:val="24"/>
          <w:szCs w:val="20"/>
        </w:rPr>
        <w:t xml:space="preserve">Après avoir connu une baisse d’année en année jusqu’en 2016, </w:t>
      </w:r>
      <w:r w:rsidR="001B7B89" w:rsidRPr="006973B5">
        <w:rPr>
          <w:rFonts w:ascii="Times New Roman" w:hAnsi="Times New Roman" w:cs="Times New Roman"/>
          <w:bCs/>
          <w:iCs/>
          <w:sz w:val="24"/>
          <w:szCs w:val="20"/>
        </w:rPr>
        <w:t>il a augmenté de 5 points entre 2016 et 2017. Le taux de sous-emploi des jeunes a connu la même tendance à la baisse, mais dans une</w:t>
      </w:r>
      <w:r w:rsidR="00C65F42" w:rsidRPr="006973B5">
        <w:rPr>
          <w:rFonts w:ascii="Times New Roman" w:hAnsi="Times New Roman" w:cs="Times New Roman"/>
          <w:bCs/>
          <w:iCs/>
          <w:sz w:val="24"/>
          <w:szCs w:val="20"/>
        </w:rPr>
        <w:t xml:space="preserve"> moindre proportion</w:t>
      </w:r>
      <w:r w:rsidR="001B7B89" w:rsidRPr="006973B5">
        <w:rPr>
          <w:rFonts w:ascii="Times New Roman" w:hAnsi="Times New Roman" w:cs="Times New Roman"/>
          <w:bCs/>
          <w:iCs/>
          <w:sz w:val="24"/>
          <w:szCs w:val="20"/>
        </w:rPr>
        <w:t xml:space="preserve">.  </w:t>
      </w:r>
      <w:r w:rsidR="00CC6EFE" w:rsidRPr="006973B5">
        <w:rPr>
          <w:rFonts w:ascii="Times New Roman" w:hAnsi="Times New Roman" w:cs="Times New Roman"/>
          <w:bCs/>
          <w:iCs/>
          <w:sz w:val="24"/>
          <w:szCs w:val="20"/>
        </w:rPr>
        <w:t>Il</w:t>
      </w:r>
      <w:r w:rsidR="00C65F42" w:rsidRPr="006973B5">
        <w:rPr>
          <w:rFonts w:ascii="Times New Roman" w:hAnsi="Times New Roman" w:cs="Times New Roman"/>
          <w:bCs/>
          <w:iCs/>
          <w:sz w:val="24"/>
          <w:szCs w:val="20"/>
        </w:rPr>
        <w:t xml:space="preserve"> a passé de 12,5% en 2013 à 11,5% en 2017, soit une baisse de 1 point. </w:t>
      </w:r>
      <w:r w:rsidR="002A271B" w:rsidRPr="006973B5">
        <w:rPr>
          <w:rFonts w:ascii="Times New Roman" w:hAnsi="Times New Roman" w:cs="Times New Roman"/>
          <w:bCs/>
          <w:iCs/>
          <w:sz w:val="24"/>
          <w:szCs w:val="20"/>
        </w:rPr>
        <w:t>Comme on pouvait s’attendre, le taux de chômage a connu une augmentation sur la période, passant de 9,5% à 21,9% entre 2013 et 2017, soit une augmentation de 12,4 points en quatre ans. Cette augmentation a connu son pic en 2016 avec un taux de 30,4%</w:t>
      </w:r>
      <w:r w:rsidR="00C15830" w:rsidRPr="006973B5">
        <w:rPr>
          <w:rFonts w:ascii="Times New Roman" w:hAnsi="Times New Roman" w:cs="Times New Roman"/>
          <w:bCs/>
          <w:iCs/>
          <w:sz w:val="24"/>
          <w:szCs w:val="20"/>
        </w:rPr>
        <w:t>, suivie d’un</w:t>
      </w:r>
      <w:r w:rsidR="001803C1" w:rsidRPr="006973B5">
        <w:rPr>
          <w:rFonts w:ascii="Times New Roman" w:hAnsi="Times New Roman" w:cs="Times New Roman"/>
          <w:bCs/>
          <w:iCs/>
          <w:sz w:val="24"/>
          <w:szCs w:val="20"/>
        </w:rPr>
        <w:t>e baisse de</w:t>
      </w:r>
      <w:r w:rsidR="00C15830" w:rsidRPr="006973B5">
        <w:rPr>
          <w:rFonts w:ascii="Times New Roman" w:hAnsi="Times New Roman" w:cs="Times New Roman"/>
          <w:bCs/>
          <w:iCs/>
          <w:sz w:val="24"/>
          <w:szCs w:val="20"/>
        </w:rPr>
        <w:t xml:space="preserve"> 8,5 point en 2017.</w:t>
      </w:r>
    </w:p>
    <w:p w:rsidR="00FF79CC" w:rsidRPr="006973B5" w:rsidRDefault="00FF79CC" w:rsidP="002F4588">
      <w:pPr>
        <w:spacing w:line="276" w:lineRule="auto"/>
        <w:jc w:val="both"/>
        <w:rPr>
          <w:rFonts w:ascii="Times New Roman" w:hAnsi="Times New Roman" w:cs="Times New Roman"/>
          <w:bCs/>
          <w:iCs/>
          <w:sz w:val="24"/>
          <w:szCs w:val="20"/>
        </w:rPr>
      </w:pPr>
    </w:p>
    <w:p w:rsidR="006973B5" w:rsidRPr="006973B5" w:rsidRDefault="006973B5" w:rsidP="006973B5">
      <w:pPr>
        <w:pStyle w:val="Lgende"/>
        <w:keepNext/>
        <w:rPr>
          <w:color w:val="auto"/>
          <w:sz w:val="20"/>
        </w:rPr>
      </w:pPr>
      <w:bookmarkStart w:id="12" w:name="_Toc516674356"/>
      <w:r w:rsidRPr="006973B5">
        <w:rPr>
          <w:color w:val="auto"/>
          <w:sz w:val="20"/>
        </w:rPr>
        <w:t xml:space="preserve">Figure </w:t>
      </w:r>
      <w:r w:rsidRPr="006973B5">
        <w:rPr>
          <w:color w:val="auto"/>
          <w:sz w:val="20"/>
        </w:rPr>
        <w:fldChar w:fldCharType="begin"/>
      </w:r>
      <w:r w:rsidRPr="006973B5">
        <w:rPr>
          <w:color w:val="auto"/>
          <w:sz w:val="20"/>
        </w:rPr>
        <w:instrText xml:space="preserve"> SEQ Figure \* ARABIC </w:instrText>
      </w:r>
      <w:r w:rsidRPr="006973B5">
        <w:rPr>
          <w:color w:val="auto"/>
          <w:sz w:val="20"/>
        </w:rPr>
        <w:fldChar w:fldCharType="separate"/>
      </w:r>
      <w:r w:rsidRPr="006973B5">
        <w:rPr>
          <w:noProof/>
          <w:color w:val="auto"/>
          <w:sz w:val="20"/>
        </w:rPr>
        <w:t>1</w:t>
      </w:r>
      <w:r w:rsidRPr="006973B5">
        <w:rPr>
          <w:color w:val="auto"/>
          <w:sz w:val="20"/>
        </w:rPr>
        <w:fldChar w:fldCharType="end"/>
      </w:r>
      <w:r w:rsidRPr="006973B5">
        <w:rPr>
          <w:color w:val="auto"/>
          <w:sz w:val="20"/>
        </w:rPr>
        <w:t>. Evolution des principaux indicateurs de l'emploi des jeunes de 2013 à 2017</w:t>
      </w:r>
      <w:bookmarkEnd w:id="12"/>
    </w:p>
    <w:p w:rsidR="00F13895" w:rsidRPr="006973B5" w:rsidRDefault="00F13895">
      <w:pPr>
        <w:rPr>
          <w:rFonts w:ascii="Times New Roman" w:hAnsi="Times New Roman" w:cs="Times New Roman"/>
          <w:b/>
          <w:bCs/>
          <w:iCs/>
          <w:sz w:val="20"/>
          <w:szCs w:val="20"/>
        </w:rPr>
      </w:pPr>
      <w:r w:rsidRPr="006973B5">
        <w:rPr>
          <w:noProof/>
          <w:lang w:eastAsia="fr-FR"/>
        </w:rPr>
        <w:drawing>
          <wp:inline distT="0" distB="0" distL="0" distR="0" wp14:anchorId="7C888778" wp14:editId="1CC20F7D">
            <wp:extent cx="6228080" cy="3248167"/>
            <wp:effectExtent l="0" t="0" r="1270" b="952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3895" w:rsidRPr="006973B5" w:rsidRDefault="00F13895">
      <w:pPr>
        <w:rPr>
          <w:rFonts w:ascii="Times New Roman" w:hAnsi="Times New Roman" w:cs="Times New Roman"/>
          <w:b/>
          <w:bCs/>
          <w:iCs/>
          <w:sz w:val="20"/>
          <w:szCs w:val="20"/>
        </w:rPr>
      </w:pPr>
    </w:p>
    <w:p w:rsidR="009C0ED6" w:rsidRPr="006973B5" w:rsidRDefault="009C0ED6" w:rsidP="009C0ED6">
      <w:pPr>
        <w:spacing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Tout comme le taux de chômage, le taux d’inactivité des jeunes a aussi connu une augmentation sur la période, passant de 30,5% en 2013 à 39,4% en 2017, soit une augmentation de 8,9 points. </w:t>
      </w:r>
    </w:p>
    <w:p w:rsidR="00E22613" w:rsidRPr="006973B5" w:rsidRDefault="009C0ED6" w:rsidP="00E22613">
      <w:pPr>
        <w:spacing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En somme pendant que le taux d’emploi et celui du sous-emploi baissent, le taux de chômage et celui de l’inactivité connaissent une augmentation sur la période 2013-2017. La période se caractérise donc par le recul de l’emploi et l’augmentation du chômage des </w:t>
      </w:r>
      <w:r w:rsidR="006E27CF" w:rsidRPr="006973B5">
        <w:rPr>
          <w:rFonts w:ascii="Times New Roman" w:hAnsi="Times New Roman" w:cs="Times New Roman"/>
          <w:bCs/>
          <w:iCs/>
          <w:sz w:val="24"/>
          <w:szCs w:val="20"/>
        </w:rPr>
        <w:t>jeunes.</w:t>
      </w:r>
      <w:r w:rsidR="006A6670" w:rsidRPr="006973B5">
        <w:rPr>
          <w:rFonts w:ascii="Times New Roman" w:hAnsi="Times New Roman" w:cs="Times New Roman"/>
          <w:bCs/>
          <w:iCs/>
          <w:sz w:val="24"/>
          <w:szCs w:val="20"/>
        </w:rPr>
        <w:t xml:space="preserve"> </w:t>
      </w:r>
      <w:r w:rsidR="00FE0F7E" w:rsidRPr="006973B5">
        <w:rPr>
          <w:rFonts w:ascii="Times New Roman" w:hAnsi="Times New Roman" w:cs="Times New Roman"/>
          <w:bCs/>
          <w:iCs/>
          <w:sz w:val="24"/>
          <w:szCs w:val="20"/>
        </w:rPr>
        <w:t>Et c</w:t>
      </w:r>
      <w:r w:rsidR="006A6670" w:rsidRPr="006973B5">
        <w:rPr>
          <w:rFonts w:ascii="Times New Roman" w:hAnsi="Times New Roman" w:cs="Times New Roman"/>
          <w:bCs/>
          <w:iCs/>
          <w:sz w:val="24"/>
          <w:szCs w:val="20"/>
        </w:rPr>
        <w:t>e</w:t>
      </w:r>
      <w:r w:rsidR="006E27CF" w:rsidRPr="006973B5">
        <w:rPr>
          <w:rFonts w:ascii="Times New Roman" w:hAnsi="Times New Roman" w:cs="Times New Roman"/>
          <w:bCs/>
          <w:iCs/>
          <w:sz w:val="24"/>
          <w:szCs w:val="20"/>
        </w:rPr>
        <w:t>ci</w:t>
      </w:r>
      <w:r w:rsidR="006A6670" w:rsidRPr="006973B5">
        <w:rPr>
          <w:rFonts w:ascii="Times New Roman" w:hAnsi="Times New Roman" w:cs="Times New Roman"/>
          <w:bCs/>
          <w:iCs/>
          <w:sz w:val="24"/>
          <w:szCs w:val="20"/>
        </w:rPr>
        <w:t xml:space="preserve"> malgré la baisse de la population jeune en pourcentage de la main d’œuvre (15-64 ans). Elle a passé de 35,7% en 2013 à </w:t>
      </w:r>
      <w:r w:rsidR="006A6670" w:rsidRPr="006973B5">
        <w:rPr>
          <w:rFonts w:ascii="Times New Roman" w:hAnsi="Times New Roman" w:cs="Times New Roman"/>
          <w:bCs/>
          <w:iCs/>
          <w:sz w:val="24"/>
          <w:szCs w:val="20"/>
        </w:rPr>
        <w:lastRenderedPageBreak/>
        <w:t>29,7% en 2017</w:t>
      </w:r>
      <w:r w:rsidR="00542747" w:rsidRPr="006973B5">
        <w:rPr>
          <w:rStyle w:val="Appelnotedebasdep"/>
          <w:rFonts w:ascii="Times New Roman" w:hAnsi="Times New Roman" w:cs="Times New Roman"/>
          <w:bCs/>
          <w:iCs/>
          <w:sz w:val="24"/>
          <w:szCs w:val="20"/>
        </w:rPr>
        <w:footnoteReference w:id="1"/>
      </w:r>
      <w:r w:rsidR="006A6670" w:rsidRPr="006973B5">
        <w:rPr>
          <w:rFonts w:ascii="Times New Roman" w:hAnsi="Times New Roman" w:cs="Times New Roman"/>
          <w:bCs/>
          <w:iCs/>
          <w:sz w:val="24"/>
          <w:szCs w:val="20"/>
        </w:rPr>
        <w:t>.</w:t>
      </w:r>
      <w:r w:rsidRPr="006973B5">
        <w:rPr>
          <w:rFonts w:ascii="Times New Roman" w:hAnsi="Times New Roman" w:cs="Times New Roman"/>
          <w:bCs/>
          <w:iCs/>
          <w:sz w:val="24"/>
          <w:szCs w:val="20"/>
        </w:rPr>
        <w:t xml:space="preserve"> </w:t>
      </w:r>
      <w:r w:rsidR="006A6670" w:rsidRPr="006973B5">
        <w:rPr>
          <w:rFonts w:ascii="Times New Roman" w:hAnsi="Times New Roman" w:cs="Times New Roman"/>
          <w:bCs/>
          <w:iCs/>
          <w:sz w:val="24"/>
          <w:szCs w:val="20"/>
        </w:rPr>
        <w:t>La</w:t>
      </w:r>
      <w:r w:rsidRPr="006973B5">
        <w:rPr>
          <w:rFonts w:ascii="Times New Roman" w:hAnsi="Times New Roman" w:cs="Times New Roman"/>
          <w:bCs/>
          <w:iCs/>
          <w:sz w:val="24"/>
          <w:szCs w:val="20"/>
        </w:rPr>
        <w:t xml:space="preserve"> détérioration de la situation des jeunes sur le marché du travail au Mali pourrait </w:t>
      </w:r>
      <w:r w:rsidR="006E27CF" w:rsidRPr="006973B5">
        <w:rPr>
          <w:rFonts w:ascii="Times New Roman" w:hAnsi="Times New Roman" w:cs="Times New Roman"/>
          <w:bCs/>
          <w:iCs/>
          <w:sz w:val="24"/>
          <w:szCs w:val="20"/>
        </w:rPr>
        <w:t xml:space="preserve">donc </w:t>
      </w:r>
      <w:r w:rsidRPr="006973B5">
        <w:rPr>
          <w:rFonts w:ascii="Times New Roman" w:hAnsi="Times New Roman" w:cs="Times New Roman"/>
          <w:bCs/>
          <w:iCs/>
          <w:sz w:val="24"/>
          <w:szCs w:val="20"/>
        </w:rPr>
        <w:t xml:space="preserve">s’expliquer par d’autres facteurs </w:t>
      </w:r>
      <w:r w:rsidR="00521CC6" w:rsidRPr="006973B5">
        <w:rPr>
          <w:rFonts w:ascii="Times New Roman" w:hAnsi="Times New Roman" w:cs="Times New Roman"/>
          <w:bCs/>
          <w:iCs/>
          <w:sz w:val="24"/>
          <w:szCs w:val="20"/>
        </w:rPr>
        <w:t xml:space="preserve">indépendamment du facteur </w:t>
      </w:r>
      <w:r w:rsidRPr="006973B5">
        <w:rPr>
          <w:rFonts w:ascii="Times New Roman" w:hAnsi="Times New Roman" w:cs="Times New Roman"/>
          <w:bCs/>
          <w:iCs/>
          <w:sz w:val="24"/>
          <w:szCs w:val="20"/>
        </w:rPr>
        <w:t xml:space="preserve">démographique. </w:t>
      </w:r>
      <w:r w:rsidR="00E22613" w:rsidRPr="006973B5">
        <w:rPr>
          <w:rFonts w:ascii="Times New Roman" w:hAnsi="Times New Roman" w:cs="Times New Roman"/>
          <w:bCs/>
          <w:iCs/>
          <w:sz w:val="24"/>
          <w:szCs w:val="20"/>
        </w:rPr>
        <w:t>L</w:t>
      </w:r>
      <w:r w:rsidR="00A40C86" w:rsidRPr="006973B5">
        <w:rPr>
          <w:rFonts w:ascii="Times New Roman" w:hAnsi="Times New Roman" w:cs="Times New Roman"/>
          <w:bCs/>
          <w:iCs/>
          <w:sz w:val="24"/>
          <w:szCs w:val="20"/>
        </w:rPr>
        <w:t>’</w:t>
      </w:r>
      <w:r w:rsidR="00E22613" w:rsidRPr="006973B5">
        <w:rPr>
          <w:rFonts w:ascii="Times New Roman" w:hAnsi="Times New Roman" w:cs="Times New Roman"/>
          <w:bCs/>
          <w:iCs/>
          <w:sz w:val="24"/>
          <w:szCs w:val="20"/>
        </w:rPr>
        <w:t>effet de ce</w:t>
      </w:r>
      <w:r w:rsidR="00A40C86" w:rsidRPr="006973B5">
        <w:rPr>
          <w:rFonts w:ascii="Times New Roman" w:hAnsi="Times New Roman" w:cs="Times New Roman"/>
          <w:bCs/>
          <w:iCs/>
          <w:sz w:val="24"/>
          <w:szCs w:val="20"/>
        </w:rPr>
        <w:t>tte</w:t>
      </w:r>
      <w:r w:rsidR="00E22613" w:rsidRPr="006973B5">
        <w:rPr>
          <w:rFonts w:ascii="Times New Roman" w:hAnsi="Times New Roman" w:cs="Times New Roman"/>
          <w:bCs/>
          <w:iCs/>
          <w:sz w:val="24"/>
          <w:szCs w:val="20"/>
        </w:rPr>
        <w:t xml:space="preserve"> tendance</w:t>
      </w:r>
      <w:r w:rsidR="00A40C86" w:rsidRPr="006973B5">
        <w:rPr>
          <w:rFonts w:ascii="Times New Roman" w:hAnsi="Times New Roman" w:cs="Times New Roman"/>
          <w:bCs/>
          <w:iCs/>
          <w:sz w:val="24"/>
          <w:szCs w:val="20"/>
        </w:rPr>
        <w:t xml:space="preserve"> à la baisse sur l’emploi des jeunes ne ressort pas très clairement.</w:t>
      </w:r>
    </w:p>
    <w:p w:rsidR="009C0ED6" w:rsidRPr="006973B5" w:rsidRDefault="009C0ED6" w:rsidP="00E22613">
      <w:pPr>
        <w:spacing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En effet, la proportion de </w:t>
      </w:r>
      <w:r w:rsidR="00AD3E3E" w:rsidRPr="006973B5">
        <w:rPr>
          <w:rFonts w:ascii="Times New Roman" w:hAnsi="Times New Roman" w:cs="Times New Roman"/>
          <w:bCs/>
          <w:iCs/>
          <w:sz w:val="24"/>
          <w:szCs w:val="20"/>
        </w:rPr>
        <w:t>jeunes âgés</w:t>
      </w:r>
      <w:r w:rsidRPr="006973B5">
        <w:rPr>
          <w:rFonts w:ascii="Times New Roman" w:hAnsi="Times New Roman" w:cs="Times New Roman"/>
          <w:bCs/>
          <w:iCs/>
          <w:sz w:val="24"/>
          <w:szCs w:val="20"/>
        </w:rPr>
        <w:t xml:space="preserve"> de 15 à 24</w:t>
      </w:r>
      <w:r w:rsidR="00521CC6" w:rsidRPr="006973B5">
        <w:rPr>
          <w:rFonts w:ascii="Times New Roman" w:hAnsi="Times New Roman" w:cs="Times New Roman"/>
          <w:bCs/>
          <w:iCs/>
          <w:sz w:val="24"/>
          <w:szCs w:val="20"/>
        </w:rPr>
        <w:t xml:space="preserve"> dans la population totale n’a pas pratiquement évolué ces quarante dernières années</w:t>
      </w:r>
      <w:r w:rsidR="00FF300D" w:rsidRPr="006973B5">
        <w:rPr>
          <w:rFonts w:ascii="Times New Roman" w:hAnsi="Times New Roman" w:cs="Times New Roman"/>
          <w:bCs/>
          <w:iCs/>
          <w:sz w:val="24"/>
          <w:szCs w:val="20"/>
        </w:rPr>
        <w:t xml:space="preserve"> (figure 1.2)</w:t>
      </w:r>
      <w:r w:rsidR="00521CC6" w:rsidRPr="006973B5">
        <w:rPr>
          <w:rFonts w:ascii="Times New Roman" w:hAnsi="Times New Roman" w:cs="Times New Roman"/>
          <w:bCs/>
          <w:iCs/>
          <w:sz w:val="24"/>
          <w:szCs w:val="20"/>
        </w:rPr>
        <w:t xml:space="preserve">. Elle a </w:t>
      </w:r>
      <w:r w:rsidR="00D91978" w:rsidRPr="006973B5">
        <w:rPr>
          <w:rFonts w:ascii="Times New Roman" w:hAnsi="Times New Roman" w:cs="Times New Roman"/>
          <w:bCs/>
          <w:iCs/>
          <w:sz w:val="24"/>
          <w:szCs w:val="20"/>
        </w:rPr>
        <w:t xml:space="preserve">légèrement baissé en </w:t>
      </w:r>
      <w:r w:rsidR="00521CC6" w:rsidRPr="006973B5">
        <w:rPr>
          <w:rFonts w:ascii="Times New Roman" w:hAnsi="Times New Roman" w:cs="Times New Roman"/>
          <w:bCs/>
          <w:iCs/>
          <w:sz w:val="24"/>
          <w:szCs w:val="20"/>
        </w:rPr>
        <w:t>pass</w:t>
      </w:r>
      <w:r w:rsidR="00D91978" w:rsidRPr="006973B5">
        <w:rPr>
          <w:rFonts w:ascii="Times New Roman" w:hAnsi="Times New Roman" w:cs="Times New Roman"/>
          <w:bCs/>
          <w:iCs/>
          <w:sz w:val="24"/>
          <w:szCs w:val="20"/>
        </w:rPr>
        <w:t>ant</w:t>
      </w:r>
      <w:r w:rsidR="00521CC6" w:rsidRPr="006973B5">
        <w:rPr>
          <w:rFonts w:ascii="Times New Roman" w:hAnsi="Times New Roman" w:cs="Times New Roman"/>
          <w:bCs/>
          <w:iCs/>
          <w:sz w:val="24"/>
          <w:szCs w:val="20"/>
        </w:rPr>
        <w:t xml:space="preserve"> de 17,1% en 1976 à 1</w:t>
      </w:r>
      <w:r w:rsidR="008D1DEF" w:rsidRPr="006973B5">
        <w:rPr>
          <w:rFonts w:ascii="Times New Roman" w:hAnsi="Times New Roman" w:cs="Times New Roman"/>
          <w:bCs/>
          <w:iCs/>
          <w:sz w:val="24"/>
          <w:szCs w:val="20"/>
        </w:rPr>
        <w:t>4</w:t>
      </w:r>
      <w:r w:rsidR="00521CC6" w:rsidRPr="006973B5">
        <w:rPr>
          <w:rFonts w:ascii="Times New Roman" w:hAnsi="Times New Roman" w:cs="Times New Roman"/>
          <w:bCs/>
          <w:iCs/>
          <w:sz w:val="24"/>
          <w:szCs w:val="20"/>
        </w:rPr>
        <w:t>,</w:t>
      </w:r>
      <w:r w:rsidR="008D1DEF" w:rsidRPr="006973B5">
        <w:rPr>
          <w:rFonts w:ascii="Times New Roman" w:hAnsi="Times New Roman" w:cs="Times New Roman"/>
          <w:bCs/>
          <w:iCs/>
          <w:sz w:val="24"/>
          <w:szCs w:val="20"/>
        </w:rPr>
        <w:t>8% en 2016</w:t>
      </w:r>
      <w:r w:rsidR="00521CC6" w:rsidRPr="006973B5">
        <w:rPr>
          <w:rFonts w:ascii="Times New Roman" w:hAnsi="Times New Roman" w:cs="Times New Roman"/>
          <w:bCs/>
          <w:iCs/>
          <w:sz w:val="24"/>
          <w:szCs w:val="20"/>
        </w:rPr>
        <w:t xml:space="preserve">.  </w:t>
      </w:r>
      <w:r w:rsidR="00FF300D" w:rsidRPr="006973B5">
        <w:rPr>
          <w:rFonts w:ascii="Times New Roman" w:hAnsi="Times New Roman" w:cs="Times New Roman"/>
          <w:bCs/>
          <w:iCs/>
          <w:sz w:val="24"/>
          <w:szCs w:val="20"/>
        </w:rPr>
        <w:t>L’</w:t>
      </w:r>
      <w:r w:rsidR="00542747" w:rsidRPr="006973B5">
        <w:rPr>
          <w:rFonts w:ascii="Times New Roman" w:hAnsi="Times New Roman" w:cs="Times New Roman"/>
          <w:bCs/>
          <w:iCs/>
          <w:sz w:val="24"/>
          <w:szCs w:val="20"/>
        </w:rPr>
        <w:t xml:space="preserve">augmentation du nombre de jeune de </w:t>
      </w:r>
      <w:r w:rsidR="00D54EAE" w:rsidRPr="006973B5">
        <w:rPr>
          <w:rFonts w:ascii="Times New Roman" w:hAnsi="Times New Roman" w:cs="Times New Roman"/>
          <w:bCs/>
          <w:iCs/>
          <w:sz w:val="24"/>
          <w:szCs w:val="20"/>
        </w:rPr>
        <w:t>1</w:t>
      </w:r>
      <w:r w:rsidR="00A54447" w:rsidRPr="006973B5">
        <w:rPr>
          <w:rFonts w:ascii="Times New Roman" w:hAnsi="Times New Roman" w:cs="Times New Roman"/>
          <w:bCs/>
          <w:iCs/>
          <w:sz w:val="24"/>
          <w:szCs w:val="20"/>
        </w:rPr>
        <w:t>4</w:t>
      </w:r>
      <w:r w:rsidR="00D54EAE" w:rsidRPr="006973B5">
        <w:rPr>
          <w:rFonts w:ascii="Times New Roman" w:hAnsi="Times New Roman" w:cs="Times New Roman"/>
          <w:bCs/>
          <w:iCs/>
          <w:sz w:val="24"/>
          <w:szCs w:val="20"/>
        </w:rPr>
        <w:t>7,</w:t>
      </w:r>
      <w:r w:rsidR="00A54447" w:rsidRPr="006973B5">
        <w:rPr>
          <w:rFonts w:ascii="Times New Roman" w:hAnsi="Times New Roman" w:cs="Times New Roman"/>
          <w:bCs/>
          <w:iCs/>
          <w:sz w:val="24"/>
          <w:szCs w:val="20"/>
        </w:rPr>
        <w:t>6</w:t>
      </w:r>
      <w:r w:rsidR="00D54EAE" w:rsidRPr="006973B5">
        <w:rPr>
          <w:rFonts w:ascii="Times New Roman" w:hAnsi="Times New Roman" w:cs="Times New Roman"/>
          <w:bCs/>
          <w:iCs/>
          <w:sz w:val="24"/>
          <w:szCs w:val="20"/>
        </w:rPr>
        <w:t>%</w:t>
      </w:r>
      <w:r w:rsidR="00542747" w:rsidRPr="006973B5">
        <w:rPr>
          <w:rFonts w:ascii="Times New Roman" w:hAnsi="Times New Roman" w:cs="Times New Roman"/>
          <w:bCs/>
          <w:iCs/>
          <w:sz w:val="24"/>
          <w:szCs w:val="20"/>
        </w:rPr>
        <w:t xml:space="preserve"> entre 1976 et 2016</w:t>
      </w:r>
      <w:r w:rsidR="00456AE7" w:rsidRPr="006973B5">
        <w:rPr>
          <w:rFonts w:ascii="Times New Roman" w:hAnsi="Times New Roman" w:cs="Times New Roman"/>
          <w:bCs/>
          <w:iCs/>
          <w:sz w:val="24"/>
          <w:szCs w:val="20"/>
        </w:rPr>
        <w:t xml:space="preserve"> </w:t>
      </w:r>
      <w:r w:rsidR="002C57A1" w:rsidRPr="006973B5">
        <w:rPr>
          <w:rFonts w:ascii="Times New Roman" w:hAnsi="Times New Roman" w:cs="Times New Roman"/>
          <w:bCs/>
          <w:iCs/>
          <w:sz w:val="24"/>
          <w:szCs w:val="20"/>
        </w:rPr>
        <w:t>(de</w:t>
      </w:r>
      <w:r w:rsidR="0070767A" w:rsidRPr="006973B5">
        <w:rPr>
          <w:rFonts w:ascii="Times New Roman" w:hAnsi="Times New Roman" w:cs="Times New Roman"/>
          <w:bCs/>
          <w:iCs/>
          <w:sz w:val="24"/>
          <w:szCs w:val="20"/>
        </w:rPr>
        <w:t xml:space="preserve"> </w:t>
      </w:r>
      <w:r w:rsidR="00542747" w:rsidRPr="006973B5">
        <w:rPr>
          <w:rFonts w:ascii="Times New Roman" w:hAnsi="Times New Roman" w:cs="Times New Roman"/>
          <w:bCs/>
          <w:iCs/>
          <w:sz w:val="24"/>
          <w:szCs w:val="20"/>
        </w:rPr>
        <w:t>1</w:t>
      </w:r>
      <w:r w:rsidR="00456AE7" w:rsidRPr="006973B5">
        <w:rPr>
          <w:rFonts w:ascii="Times New Roman" w:hAnsi="Times New Roman" w:cs="Times New Roman"/>
          <w:bCs/>
          <w:iCs/>
          <w:sz w:val="24"/>
          <w:szCs w:val="20"/>
        </w:rPr>
        <w:t> 126 348 à 2 561 </w:t>
      </w:r>
      <w:r w:rsidR="00542747" w:rsidRPr="006973B5">
        <w:rPr>
          <w:rFonts w:ascii="Times New Roman" w:hAnsi="Times New Roman" w:cs="Times New Roman"/>
          <w:bCs/>
          <w:iCs/>
          <w:sz w:val="24"/>
          <w:szCs w:val="20"/>
        </w:rPr>
        <w:t xml:space="preserve">502) </w:t>
      </w:r>
      <w:r w:rsidR="00385A19" w:rsidRPr="006973B5">
        <w:rPr>
          <w:rFonts w:ascii="Times New Roman" w:hAnsi="Times New Roman" w:cs="Times New Roman"/>
          <w:bCs/>
          <w:iCs/>
          <w:sz w:val="24"/>
          <w:szCs w:val="20"/>
        </w:rPr>
        <w:t>est la conséquence directe de la croissante démographique</w:t>
      </w:r>
      <w:r w:rsidR="00542747" w:rsidRPr="006973B5">
        <w:rPr>
          <w:rFonts w:ascii="Times New Roman" w:hAnsi="Times New Roman" w:cs="Times New Roman"/>
          <w:bCs/>
          <w:iCs/>
          <w:sz w:val="24"/>
          <w:szCs w:val="20"/>
        </w:rPr>
        <w:t>.</w:t>
      </w:r>
      <w:r w:rsidR="00E22613" w:rsidRPr="006973B5">
        <w:rPr>
          <w:rFonts w:ascii="Times New Roman" w:hAnsi="Times New Roman" w:cs="Times New Roman"/>
          <w:bCs/>
          <w:iCs/>
          <w:sz w:val="24"/>
          <w:szCs w:val="20"/>
        </w:rPr>
        <w:t xml:space="preserve"> </w:t>
      </w:r>
    </w:p>
    <w:p w:rsidR="006973B5" w:rsidRPr="006973B5" w:rsidRDefault="006973B5" w:rsidP="006973B5">
      <w:pPr>
        <w:pStyle w:val="Lgende"/>
        <w:keepNext/>
        <w:rPr>
          <w:color w:val="auto"/>
          <w:sz w:val="20"/>
        </w:rPr>
      </w:pPr>
      <w:bookmarkStart w:id="13" w:name="_Toc516674357"/>
      <w:r w:rsidRPr="006973B5">
        <w:rPr>
          <w:color w:val="auto"/>
          <w:sz w:val="20"/>
        </w:rPr>
        <w:t xml:space="preserve">Figure </w:t>
      </w:r>
      <w:r w:rsidRPr="006973B5">
        <w:rPr>
          <w:color w:val="auto"/>
          <w:sz w:val="20"/>
        </w:rPr>
        <w:fldChar w:fldCharType="begin"/>
      </w:r>
      <w:r w:rsidRPr="006973B5">
        <w:rPr>
          <w:color w:val="auto"/>
          <w:sz w:val="20"/>
        </w:rPr>
        <w:instrText xml:space="preserve"> SEQ Figure \* ARABIC </w:instrText>
      </w:r>
      <w:r w:rsidRPr="006973B5">
        <w:rPr>
          <w:color w:val="auto"/>
          <w:sz w:val="20"/>
        </w:rPr>
        <w:fldChar w:fldCharType="separate"/>
      </w:r>
      <w:r w:rsidRPr="006973B5">
        <w:rPr>
          <w:noProof/>
          <w:color w:val="auto"/>
          <w:sz w:val="20"/>
        </w:rPr>
        <w:t>2</w:t>
      </w:r>
      <w:r w:rsidRPr="006973B5">
        <w:rPr>
          <w:color w:val="auto"/>
          <w:sz w:val="20"/>
        </w:rPr>
        <w:fldChar w:fldCharType="end"/>
      </w:r>
      <w:r w:rsidRPr="006973B5">
        <w:rPr>
          <w:color w:val="auto"/>
          <w:sz w:val="20"/>
        </w:rPr>
        <w:t>. Evolution de la population jeune en pourcentage de la population totale</w:t>
      </w:r>
      <w:bookmarkEnd w:id="13"/>
    </w:p>
    <w:p w:rsidR="00625137" w:rsidRPr="006973B5" w:rsidRDefault="00625137">
      <w:pPr>
        <w:rPr>
          <w:rFonts w:ascii="Times New Roman" w:hAnsi="Times New Roman" w:cs="Times New Roman"/>
          <w:b/>
          <w:bCs/>
          <w:iCs/>
          <w:sz w:val="20"/>
          <w:szCs w:val="20"/>
        </w:rPr>
      </w:pPr>
      <w:r w:rsidRPr="006973B5">
        <w:rPr>
          <w:noProof/>
          <w:lang w:eastAsia="fr-FR"/>
        </w:rPr>
        <w:drawing>
          <wp:inline distT="0" distB="0" distL="0" distR="0" wp14:anchorId="494C4294" wp14:editId="0DA2F76B">
            <wp:extent cx="6120130" cy="2885440"/>
            <wp:effectExtent l="0" t="0" r="13970" b="1016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5137" w:rsidRPr="006973B5" w:rsidRDefault="00625137">
      <w:pPr>
        <w:rPr>
          <w:rFonts w:ascii="Times New Roman" w:hAnsi="Times New Roman" w:cs="Times New Roman"/>
          <w:b/>
          <w:bCs/>
          <w:iCs/>
          <w:sz w:val="20"/>
          <w:szCs w:val="20"/>
        </w:rPr>
      </w:pPr>
    </w:p>
    <w:p w:rsidR="00F13895" w:rsidRPr="006973B5" w:rsidRDefault="005C49F6" w:rsidP="00937EDF">
      <w:pPr>
        <w:pStyle w:val="Titre2"/>
        <w:numPr>
          <w:ilvl w:val="1"/>
          <w:numId w:val="14"/>
        </w:numPr>
        <w:rPr>
          <w:rFonts w:ascii="Times New Roman" w:hAnsi="Times New Roman" w:cs="Times New Roman"/>
          <w:b/>
          <w:color w:val="auto"/>
          <w:sz w:val="28"/>
        </w:rPr>
      </w:pPr>
      <w:bookmarkStart w:id="14" w:name="_Toc516676411"/>
      <w:r w:rsidRPr="006973B5">
        <w:rPr>
          <w:rFonts w:ascii="Times New Roman" w:hAnsi="Times New Roman" w:cs="Times New Roman"/>
          <w:b/>
          <w:color w:val="auto"/>
          <w:sz w:val="28"/>
        </w:rPr>
        <w:t>Evolution selon le sexe</w:t>
      </w:r>
      <w:bookmarkEnd w:id="14"/>
    </w:p>
    <w:p w:rsidR="00786A6A" w:rsidRPr="006973B5" w:rsidRDefault="00786A6A" w:rsidP="00786A6A">
      <w:pPr>
        <w:rPr>
          <w:rFonts w:ascii="Times New Roman" w:hAnsi="Times New Roman" w:cs="Times New Roman"/>
          <w:b/>
          <w:bCs/>
          <w:iCs/>
          <w:sz w:val="20"/>
          <w:szCs w:val="20"/>
        </w:rPr>
      </w:pPr>
    </w:p>
    <w:p w:rsidR="00AC7508" w:rsidRPr="006973B5" w:rsidRDefault="00AC7508" w:rsidP="001728E4">
      <w:pPr>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Au-delà de l’analyse </w:t>
      </w:r>
      <w:r w:rsidR="00B35248" w:rsidRPr="006973B5">
        <w:rPr>
          <w:rFonts w:ascii="Times New Roman" w:hAnsi="Times New Roman" w:cs="Times New Roman"/>
          <w:bCs/>
          <w:iCs/>
          <w:sz w:val="24"/>
          <w:szCs w:val="20"/>
        </w:rPr>
        <w:t xml:space="preserve">globale </w:t>
      </w:r>
      <w:r w:rsidR="00984E45" w:rsidRPr="006973B5">
        <w:rPr>
          <w:rFonts w:ascii="Times New Roman" w:hAnsi="Times New Roman" w:cs="Times New Roman"/>
          <w:bCs/>
          <w:iCs/>
          <w:sz w:val="24"/>
          <w:szCs w:val="20"/>
        </w:rPr>
        <w:t xml:space="preserve">de l’évolution de ces principaux indicateurs, nous avons jugé nécessaire d’analyser dans cette partie, </w:t>
      </w:r>
      <w:r w:rsidR="001728E4" w:rsidRPr="006973B5">
        <w:rPr>
          <w:rFonts w:ascii="Times New Roman" w:hAnsi="Times New Roman" w:cs="Times New Roman"/>
          <w:bCs/>
          <w:iCs/>
          <w:sz w:val="24"/>
          <w:szCs w:val="20"/>
        </w:rPr>
        <w:t xml:space="preserve">la situation des jeunes hommes et femmes sur le marché du travail. </w:t>
      </w:r>
      <w:r w:rsidR="00E6656A" w:rsidRPr="006973B5">
        <w:rPr>
          <w:rFonts w:ascii="Times New Roman" w:hAnsi="Times New Roman" w:cs="Times New Roman"/>
          <w:bCs/>
          <w:iCs/>
          <w:sz w:val="24"/>
          <w:szCs w:val="20"/>
        </w:rPr>
        <w:t>A</w:t>
      </w:r>
      <w:r w:rsidR="001728E4" w:rsidRPr="006973B5">
        <w:rPr>
          <w:rFonts w:ascii="Times New Roman" w:hAnsi="Times New Roman" w:cs="Times New Roman"/>
          <w:bCs/>
          <w:iCs/>
          <w:sz w:val="24"/>
          <w:szCs w:val="20"/>
        </w:rPr>
        <w:t xml:space="preserve"> l’analyse du tableau 1, il ressort une forte disparité entre les hommes et les femmes sur le marché du travail au Mali</w:t>
      </w:r>
      <w:r w:rsidR="00E6656A" w:rsidRPr="006973B5">
        <w:rPr>
          <w:rFonts w:ascii="Times New Roman" w:hAnsi="Times New Roman" w:cs="Times New Roman"/>
          <w:bCs/>
          <w:iCs/>
          <w:sz w:val="24"/>
          <w:szCs w:val="20"/>
        </w:rPr>
        <w:t xml:space="preserve">. L’écart entre les hommes et les femmes en emploi est d’environ 10 points. Cet écart est resté presque constant </w:t>
      </w:r>
      <w:r w:rsidR="00B35248" w:rsidRPr="006973B5">
        <w:rPr>
          <w:rFonts w:ascii="Times New Roman" w:hAnsi="Times New Roman" w:cs="Times New Roman"/>
          <w:bCs/>
          <w:iCs/>
          <w:sz w:val="24"/>
          <w:szCs w:val="20"/>
        </w:rPr>
        <w:t>au cours d</w:t>
      </w:r>
      <w:r w:rsidR="00E6656A" w:rsidRPr="006973B5">
        <w:rPr>
          <w:rFonts w:ascii="Times New Roman" w:hAnsi="Times New Roman" w:cs="Times New Roman"/>
          <w:bCs/>
          <w:iCs/>
          <w:sz w:val="24"/>
          <w:szCs w:val="20"/>
        </w:rPr>
        <w:t xml:space="preserve">es cinq dernières années. </w:t>
      </w:r>
      <w:r w:rsidR="00B35248" w:rsidRPr="006973B5">
        <w:rPr>
          <w:rFonts w:ascii="Times New Roman" w:hAnsi="Times New Roman" w:cs="Times New Roman"/>
          <w:bCs/>
          <w:iCs/>
          <w:sz w:val="24"/>
          <w:szCs w:val="20"/>
        </w:rPr>
        <w:t>Les autres indicateurs montent le décret de précarité des femmes sur le marché du travail. Elles sont 3 fois plus touchées par le sous-emploi que les hommes. Le chômage et l’inactivité concernent également plus les femmes que les hommes.</w:t>
      </w:r>
    </w:p>
    <w:p w:rsidR="00211B05" w:rsidRPr="006973B5" w:rsidRDefault="00211B05" w:rsidP="00211B05">
      <w:pPr>
        <w:pStyle w:val="Lgende"/>
        <w:spacing w:after="0"/>
        <w:rPr>
          <w:color w:val="auto"/>
          <w:sz w:val="20"/>
        </w:rPr>
      </w:pPr>
      <w:bookmarkStart w:id="15" w:name="_Toc516676453"/>
      <w:r w:rsidRPr="006973B5">
        <w:rPr>
          <w:color w:val="auto"/>
          <w:sz w:val="20"/>
        </w:rPr>
        <w:t xml:space="preserve">Tableau </w:t>
      </w:r>
      <w:r w:rsidRPr="006973B5">
        <w:rPr>
          <w:color w:val="auto"/>
          <w:sz w:val="20"/>
        </w:rPr>
        <w:fldChar w:fldCharType="begin"/>
      </w:r>
      <w:r w:rsidRPr="006973B5">
        <w:rPr>
          <w:color w:val="auto"/>
          <w:sz w:val="20"/>
        </w:rPr>
        <w:instrText xml:space="preserve"> SEQ Tableau \* ARABIC </w:instrText>
      </w:r>
      <w:r w:rsidRPr="006973B5">
        <w:rPr>
          <w:color w:val="auto"/>
          <w:sz w:val="20"/>
        </w:rPr>
        <w:fldChar w:fldCharType="separate"/>
      </w:r>
      <w:r w:rsidRPr="006973B5">
        <w:rPr>
          <w:noProof/>
          <w:color w:val="auto"/>
          <w:sz w:val="20"/>
        </w:rPr>
        <w:t>1</w:t>
      </w:r>
      <w:r w:rsidRPr="006973B5">
        <w:rPr>
          <w:color w:val="auto"/>
          <w:sz w:val="20"/>
        </w:rPr>
        <w:fldChar w:fldCharType="end"/>
      </w:r>
      <w:r w:rsidRPr="006973B5">
        <w:rPr>
          <w:color w:val="auto"/>
          <w:sz w:val="20"/>
        </w:rPr>
        <w:t>.: évolution des principaux indicateurs selon le sexe</w:t>
      </w:r>
      <w:bookmarkEnd w:id="15"/>
    </w:p>
    <w:tbl>
      <w:tblPr>
        <w:tblW w:w="9498" w:type="dxa"/>
        <w:tblCellMar>
          <w:left w:w="70" w:type="dxa"/>
          <w:right w:w="70" w:type="dxa"/>
        </w:tblCellMar>
        <w:tblLook w:val="04A0" w:firstRow="1" w:lastRow="0" w:firstColumn="1" w:lastColumn="0" w:noHBand="0" w:noVBand="1"/>
      </w:tblPr>
      <w:tblGrid>
        <w:gridCol w:w="1276"/>
        <w:gridCol w:w="851"/>
        <w:gridCol w:w="740"/>
        <w:gridCol w:w="819"/>
        <w:gridCol w:w="850"/>
        <w:gridCol w:w="785"/>
        <w:gridCol w:w="916"/>
        <w:gridCol w:w="785"/>
        <w:gridCol w:w="775"/>
        <w:gridCol w:w="850"/>
        <w:gridCol w:w="851"/>
      </w:tblGrid>
      <w:tr w:rsidR="00FC05E5" w:rsidRPr="006973B5" w:rsidTr="00646207">
        <w:trPr>
          <w:trHeight w:val="203"/>
        </w:trPr>
        <w:tc>
          <w:tcPr>
            <w:tcW w:w="1276" w:type="dxa"/>
            <w:vMerge w:val="restart"/>
            <w:tcBorders>
              <w:top w:val="single" w:sz="18" w:space="0" w:color="538135" w:themeColor="accent6" w:themeShade="BF"/>
            </w:tcBorders>
            <w:shd w:val="clear" w:color="auto" w:fill="auto"/>
            <w:noWrap/>
            <w:vAlign w:val="bottom"/>
            <w:hideMark/>
          </w:tcPr>
          <w:p w:rsidR="00FC05E5" w:rsidRPr="006973B5" w:rsidRDefault="00FC05E5" w:rsidP="00984E45">
            <w:pPr>
              <w:spacing w:after="0" w:line="240" w:lineRule="auto"/>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 </w:t>
            </w:r>
          </w:p>
          <w:p w:rsidR="00FC05E5" w:rsidRPr="006973B5" w:rsidRDefault="00FC05E5" w:rsidP="00984E45">
            <w:pPr>
              <w:spacing w:after="0" w:line="240" w:lineRule="auto"/>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 </w:t>
            </w:r>
          </w:p>
        </w:tc>
        <w:tc>
          <w:tcPr>
            <w:tcW w:w="1591" w:type="dxa"/>
            <w:gridSpan w:val="2"/>
            <w:tcBorders>
              <w:top w:val="single" w:sz="18" w:space="0" w:color="538135" w:themeColor="accent6" w:themeShade="BF"/>
              <w:bottom w:val="single" w:sz="8" w:space="0" w:color="538135" w:themeColor="accent6" w:themeShade="BF"/>
            </w:tcBorders>
            <w:shd w:val="clear" w:color="auto" w:fill="auto"/>
            <w:noWrap/>
            <w:vAlign w:val="bottom"/>
            <w:hideMark/>
          </w:tcPr>
          <w:p w:rsidR="00FC05E5" w:rsidRPr="006973B5" w:rsidRDefault="00FC05E5" w:rsidP="00984E45">
            <w:pPr>
              <w:spacing w:after="0" w:line="240" w:lineRule="auto"/>
              <w:jc w:val="center"/>
              <w:rPr>
                <w:rFonts w:ascii="Times New Roman" w:eastAsia="Times New Roman" w:hAnsi="Times New Roman" w:cs="Times New Roman"/>
                <w:b/>
                <w:bCs/>
                <w:color w:val="000000"/>
                <w:sz w:val="20"/>
                <w:szCs w:val="20"/>
                <w:lang w:eastAsia="fr-FR"/>
              </w:rPr>
            </w:pPr>
            <w:r w:rsidRPr="006973B5">
              <w:rPr>
                <w:rFonts w:ascii="Times New Roman" w:eastAsia="Times New Roman" w:hAnsi="Times New Roman" w:cs="Times New Roman"/>
                <w:b/>
                <w:bCs/>
                <w:color w:val="000000"/>
                <w:sz w:val="20"/>
                <w:szCs w:val="20"/>
                <w:lang w:eastAsia="fr-FR"/>
              </w:rPr>
              <w:t>2013</w:t>
            </w:r>
          </w:p>
        </w:tc>
        <w:tc>
          <w:tcPr>
            <w:tcW w:w="1669" w:type="dxa"/>
            <w:gridSpan w:val="2"/>
            <w:tcBorders>
              <w:top w:val="single" w:sz="18" w:space="0" w:color="538135" w:themeColor="accent6" w:themeShade="BF"/>
              <w:bottom w:val="single" w:sz="8" w:space="0" w:color="538135" w:themeColor="accent6" w:themeShade="BF"/>
            </w:tcBorders>
            <w:shd w:val="clear" w:color="auto" w:fill="auto"/>
            <w:noWrap/>
            <w:vAlign w:val="bottom"/>
            <w:hideMark/>
          </w:tcPr>
          <w:p w:rsidR="00FC05E5" w:rsidRPr="006973B5" w:rsidRDefault="00FC05E5" w:rsidP="00984E45">
            <w:pPr>
              <w:spacing w:after="0" w:line="240" w:lineRule="auto"/>
              <w:jc w:val="center"/>
              <w:rPr>
                <w:rFonts w:ascii="Times New Roman" w:eastAsia="Times New Roman" w:hAnsi="Times New Roman" w:cs="Times New Roman"/>
                <w:b/>
                <w:bCs/>
                <w:color w:val="000000"/>
                <w:sz w:val="20"/>
                <w:szCs w:val="20"/>
                <w:lang w:eastAsia="fr-FR"/>
              </w:rPr>
            </w:pPr>
            <w:r w:rsidRPr="006973B5">
              <w:rPr>
                <w:rFonts w:ascii="Times New Roman" w:eastAsia="Times New Roman" w:hAnsi="Times New Roman" w:cs="Times New Roman"/>
                <w:b/>
                <w:bCs/>
                <w:color w:val="000000"/>
                <w:sz w:val="20"/>
                <w:szCs w:val="20"/>
                <w:lang w:eastAsia="fr-FR"/>
              </w:rPr>
              <w:t>2014</w:t>
            </w:r>
          </w:p>
        </w:tc>
        <w:tc>
          <w:tcPr>
            <w:tcW w:w="1701" w:type="dxa"/>
            <w:gridSpan w:val="2"/>
            <w:tcBorders>
              <w:top w:val="single" w:sz="18" w:space="0" w:color="538135" w:themeColor="accent6" w:themeShade="BF"/>
              <w:bottom w:val="single" w:sz="8" w:space="0" w:color="538135" w:themeColor="accent6" w:themeShade="BF"/>
            </w:tcBorders>
            <w:shd w:val="clear" w:color="auto" w:fill="auto"/>
            <w:noWrap/>
            <w:vAlign w:val="bottom"/>
            <w:hideMark/>
          </w:tcPr>
          <w:p w:rsidR="00FC05E5" w:rsidRPr="006973B5" w:rsidRDefault="00FC05E5" w:rsidP="00984E45">
            <w:pPr>
              <w:spacing w:after="0" w:line="240" w:lineRule="auto"/>
              <w:jc w:val="center"/>
              <w:rPr>
                <w:rFonts w:ascii="Times New Roman" w:eastAsia="Times New Roman" w:hAnsi="Times New Roman" w:cs="Times New Roman"/>
                <w:b/>
                <w:bCs/>
                <w:color w:val="000000"/>
                <w:sz w:val="20"/>
                <w:szCs w:val="20"/>
                <w:lang w:eastAsia="fr-FR"/>
              </w:rPr>
            </w:pPr>
            <w:r w:rsidRPr="006973B5">
              <w:rPr>
                <w:rFonts w:ascii="Times New Roman" w:eastAsia="Times New Roman" w:hAnsi="Times New Roman" w:cs="Times New Roman"/>
                <w:b/>
                <w:bCs/>
                <w:color w:val="000000"/>
                <w:sz w:val="20"/>
                <w:szCs w:val="20"/>
                <w:lang w:eastAsia="fr-FR"/>
              </w:rPr>
              <w:t>2015</w:t>
            </w:r>
          </w:p>
        </w:tc>
        <w:tc>
          <w:tcPr>
            <w:tcW w:w="1560" w:type="dxa"/>
            <w:gridSpan w:val="2"/>
            <w:tcBorders>
              <w:top w:val="single" w:sz="18" w:space="0" w:color="538135" w:themeColor="accent6" w:themeShade="BF"/>
              <w:bottom w:val="single" w:sz="8" w:space="0" w:color="538135" w:themeColor="accent6" w:themeShade="BF"/>
            </w:tcBorders>
            <w:shd w:val="clear" w:color="auto" w:fill="auto"/>
            <w:noWrap/>
            <w:vAlign w:val="bottom"/>
            <w:hideMark/>
          </w:tcPr>
          <w:p w:rsidR="00FC05E5" w:rsidRPr="006973B5" w:rsidRDefault="00FC05E5" w:rsidP="00984E45">
            <w:pPr>
              <w:spacing w:after="0" w:line="240" w:lineRule="auto"/>
              <w:jc w:val="center"/>
              <w:rPr>
                <w:rFonts w:ascii="Times New Roman" w:eastAsia="Times New Roman" w:hAnsi="Times New Roman" w:cs="Times New Roman"/>
                <w:b/>
                <w:bCs/>
                <w:color w:val="000000"/>
                <w:sz w:val="20"/>
                <w:szCs w:val="20"/>
                <w:lang w:eastAsia="fr-FR"/>
              </w:rPr>
            </w:pPr>
            <w:r w:rsidRPr="006973B5">
              <w:rPr>
                <w:rFonts w:ascii="Times New Roman" w:eastAsia="Times New Roman" w:hAnsi="Times New Roman" w:cs="Times New Roman"/>
                <w:b/>
                <w:bCs/>
                <w:color w:val="000000"/>
                <w:sz w:val="20"/>
                <w:szCs w:val="20"/>
                <w:lang w:eastAsia="fr-FR"/>
              </w:rPr>
              <w:t>2016</w:t>
            </w:r>
          </w:p>
        </w:tc>
        <w:tc>
          <w:tcPr>
            <w:tcW w:w="1701" w:type="dxa"/>
            <w:gridSpan w:val="2"/>
            <w:tcBorders>
              <w:top w:val="single" w:sz="18" w:space="0" w:color="538135" w:themeColor="accent6" w:themeShade="BF"/>
              <w:bottom w:val="single" w:sz="8" w:space="0" w:color="538135" w:themeColor="accent6" w:themeShade="BF"/>
            </w:tcBorders>
            <w:shd w:val="clear" w:color="auto" w:fill="auto"/>
            <w:noWrap/>
            <w:vAlign w:val="bottom"/>
            <w:hideMark/>
          </w:tcPr>
          <w:p w:rsidR="00FC05E5" w:rsidRPr="006973B5" w:rsidRDefault="00FC05E5" w:rsidP="00984E45">
            <w:pPr>
              <w:spacing w:after="0" w:line="240" w:lineRule="auto"/>
              <w:jc w:val="center"/>
              <w:rPr>
                <w:rFonts w:ascii="Times New Roman" w:eastAsia="Times New Roman" w:hAnsi="Times New Roman" w:cs="Times New Roman"/>
                <w:b/>
                <w:bCs/>
                <w:color w:val="000000"/>
                <w:sz w:val="20"/>
                <w:szCs w:val="20"/>
                <w:lang w:eastAsia="fr-FR"/>
              </w:rPr>
            </w:pPr>
            <w:r w:rsidRPr="006973B5">
              <w:rPr>
                <w:rFonts w:ascii="Times New Roman" w:eastAsia="Times New Roman" w:hAnsi="Times New Roman" w:cs="Times New Roman"/>
                <w:b/>
                <w:bCs/>
                <w:color w:val="000000"/>
                <w:sz w:val="20"/>
                <w:szCs w:val="20"/>
                <w:lang w:eastAsia="fr-FR"/>
              </w:rPr>
              <w:t>2017</w:t>
            </w:r>
          </w:p>
        </w:tc>
      </w:tr>
      <w:tr w:rsidR="00646207" w:rsidRPr="006973B5" w:rsidTr="00646207">
        <w:trPr>
          <w:trHeight w:val="203"/>
        </w:trPr>
        <w:tc>
          <w:tcPr>
            <w:tcW w:w="1276" w:type="dxa"/>
            <w:vMerge/>
            <w:tcBorders>
              <w:bottom w:val="single" w:sz="18" w:space="0" w:color="538135" w:themeColor="accent6" w:themeShade="BF"/>
            </w:tcBorders>
            <w:shd w:val="clear" w:color="auto" w:fill="auto"/>
            <w:noWrap/>
            <w:vAlign w:val="bottom"/>
            <w:hideMark/>
          </w:tcPr>
          <w:p w:rsidR="00FC05E5" w:rsidRPr="006973B5" w:rsidRDefault="00FC05E5" w:rsidP="00984E45">
            <w:pPr>
              <w:spacing w:after="0" w:line="240" w:lineRule="auto"/>
              <w:jc w:val="center"/>
              <w:rPr>
                <w:rFonts w:ascii="Times New Roman" w:eastAsia="Times New Roman" w:hAnsi="Times New Roman" w:cs="Times New Roman"/>
                <w:color w:val="000000"/>
                <w:sz w:val="20"/>
                <w:szCs w:val="20"/>
                <w:lang w:eastAsia="fr-FR"/>
              </w:rPr>
            </w:pPr>
          </w:p>
        </w:tc>
        <w:tc>
          <w:tcPr>
            <w:tcW w:w="851" w:type="dxa"/>
            <w:tcBorders>
              <w:top w:val="single" w:sz="8" w:space="0" w:color="538135" w:themeColor="accent6" w:themeShade="BF"/>
              <w:bottom w:val="single" w:sz="18" w:space="0" w:color="538135" w:themeColor="accent6" w:themeShade="BF"/>
            </w:tcBorders>
            <w:shd w:val="clear" w:color="auto" w:fill="auto"/>
            <w:noWrap/>
            <w:vAlign w:val="bottom"/>
            <w:hideMark/>
          </w:tcPr>
          <w:p w:rsidR="00FC05E5" w:rsidRPr="006973B5" w:rsidRDefault="00FC05E5" w:rsidP="00984E45">
            <w:pPr>
              <w:spacing w:after="0" w:line="240" w:lineRule="auto"/>
              <w:jc w:val="center"/>
              <w:rPr>
                <w:rFonts w:ascii="Times New Roman" w:eastAsia="Times New Roman" w:hAnsi="Times New Roman" w:cs="Times New Roman"/>
                <w:bCs/>
                <w:color w:val="000000"/>
                <w:sz w:val="20"/>
                <w:szCs w:val="20"/>
                <w:lang w:eastAsia="fr-FR"/>
              </w:rPr>
            </w:pPr>
            <w:r w:rsidRPr="006973B5">
              <w:rPr>
                <w:rFonts w:ascii="Times New Roman" w:eastAsia="Times New Roman" w:hAnsi="Times New Roman" w:cs="Times New Roman"/>
                <w:bCs/>
                <w:color w:val="000000"/>
                <w:sz w:val="20"/>
                <w:szCs w:val="20"/>
                <w:lang w:eastAsia="fr-FR"/>
              </w:rPr>
              <w:t>Homme</w:t>
            </w:r>
          </w:p>
        </w:tc>
        <w:tc>
          <w:tcPr>
            <w:tcW w:w="740" w:type="dxa"/>
            <w:tcBorders>
              <w:top w:val="single" w:sz="8" w:space="0" w:color="538135" w:themeColor="accent6" w:themeShade="BF"/>
              <w:bottom w:val="single" w:sz="18" w:space="0" w:color="538135" w:themeColor="accent6" w:themeShade="BF"/>
            </w:tcBorders>
            <w:shd w:val="clear" w:color="auto" w:fill="auto"/>
            <w:noWrap/>
            <w:vAlign w:val="bottom"/>
            <w:hideMark/>
          </w:tcPr>
          <w:p w:rsidR="00FC05E5" w:rsidRPr="006973B5" w:rsidRDefault="00FC05E5" w:rsidP="00984E45">
            <w:pPr>
              <w:spacing w:after="0" w:line="240" w:lineRule="auto"/>
              <w:jc w:val="center"/>
              <w:rPr>
                <w:rFonts w:ascii="Times New Roman" w:eastAsia="Times New Roman" w:hAnsi="Times New Roman" w:cs="Times New Roman"/>
                <w:bCs/>
                <w:color w:val="000000"/>
                <w:sz w:val="20"/>
                <w:szCs w:val="20"/>
                <w:lang w:eastAsia="fr-FR"/>
              </w:rPr>
            </w:pPr>
            <w:r w:rsidRPr="006973B5">
              <w:rPr>
                <w:rFonts w:ascii="Times New Roman" w:eastAsia="Times New Roman" w:hAnsi="Times New Roman" w:cs="Times New Roman"/>
                <w:bCs/>
                <w:color w:val="000000"/>
                <w:sz w:val="20"/>
                <w:szCs w:val="20"/>
                <w:lang w:eastAsia="fr-FR"/>
              </w:rPr>
              <w:t>Femme</w:t>
            </w:r>
          </w:p>
        </w:tc>
        <w:tc>
          <w:tcPr>
            <w:tcW w:w="819" w:type="dxa"/>
            <w:tcBorders>
              <w:top w:val="single" w:sz="8" w:space="0" w:color="538135" w:themeColor="accent6" w:themeShade="BF"/>
              <w:bottom w:val="single" w:sz="18" w:space="0" w:color="538135" w:themeColor="accent6" w:themeShade="BF"/>
            </w:tcBorders>
            <w:shd w:val="clear" w:color="auto" w:fill="auto"/>
            <w:noWrap/>
            <w:vAlign w:val="bottom"/>
            <w:hideMark/>
          </w:tcPr>
          <w:p w:rsidR="00FC05E5" w:rsidRPr="006973B5" w:rsidRDefault="00FC05E5" w:rsidP="00984E45">
            <w:pPr>
              <w:spacing w:after="0" w:line="240" w:lineRule="auto"/>
              <w:jc w:val="center"/>
              <w:rPr>
                <w:rFonts w:ascii="Times New Roman" w:eastAsia="Times New Roman" w:hAnsi="Times New Roman" w:cs="Times New Roman"/>
                <w:bCs/>
                <w:color w:val="000000"/>
                <w:sz w:val="20"/>
                <w:szCs w:val="20"/>
                <w:lang w:eastAsia="fr-FR"/>
              </w:rPr>
            </w:pPr>
            <w:r w:rsidRPr="006973B5">
              <w:rPr>
                <w:rFonts w:ascii="Times New Roman" w:eastAsia="Times New Roman" w:hAnsi="Times New Roman" w:cs="Times New Roman"/>
                <w:bCs/>
                <w:color w:val="000000"/>
                <w:sz w:val="20"/>
                <w:szCs w:val="20"/>
                <w:lang w:eastAsia="fr-FR"/>
              </w:rPr>
              <w:t>Homme</w:t>
            </w:r>
          </w:p>
        </w:tc>
        <w:tc>
          <w:tcPr>
            <w:tcW w:w="850" w:type="dxa"/>
            <w:tcBorders>
              <w:top w:val="single" w:sz="8" w:space="0" w:color="538135" w:themeColor="accent6" w:themeShade="BF"/>
              <w:bottom w:val="single" w:sz="18" w:space="0" w:color="538135" w:themeColor="accent6" w:themeShade="BF"/>
            </w:tcBorders>
            <w:shd w:val="clear" w:color="auto" w:fill="auto"/>
            <w:noWrap/>
            <w:vAlign w:val="bottom"/>
            <w:hideMark/>
          </w:tcPr>
          <w:p w:rsidR="00FC05E5" w:rsidRPr="006973B5" w:rsidRDefault="00FC05E5" w:rsidP="00984E45">
            <w:pPr>
              <w:spacing w:after="0" w:line="240" w:lineRule="auto"/>
              <w:jc w:val="center"/>
              <w:rPr>
                <w:rFonts w:ascii="Times New Roman" w:eastAsia="Times New Roman" w:hAnsi="Times New Roman" w:cs="Times New Roman"/>
                <w:bCs/>
                <w:color w:val="000000"/>
                <w:sz w:val="20"/>
                <w:szCs w:val="20"/>
                <w:lang w:eastAsia="fr-FR"/>
              </w:rPr>
            </w:pPr>
            <w:r w:rsidRPr="006973B5">
              <w:rPr>
                <w:rFonts w:ascii="Times New Roman" w:eastAsia="Times New Roman" w:hAnsi="Times New Roman" w:cs="Times New Roman"/>
                <w:bCs/>
                <w:color w:val="000000"/>
                <w:sz w:val="20"/>
                <w:szCs w:val="20"/>
                <w:lang w:eastAsia="fr-FR"/>
              </w:rPr>
              <w:t>Femme</w:t>
            </w:r>
          </w:p>
        </w:tc>
        <w:tc>
          <w:tcPr>
            <w:tcW w:w="785" w:type="dxa"/>
            <w:tcBorders>
              <w:top w:val="single" w:sz="8" w:space="0" w:color="538135" w:themeColor="accent6" w:themeShade="BF"/>
              <w:bottom w:val="single" w:sz="18" w:space="0" w:color="538135" w:themeColor="accent6" w:themeShade="BF"/>
            </w:tcBorders>
            <w:shd w:val="clear" w:color="auto" w:fill="auto"/>
            <w:noWrap/>
            <w:vAlign w:val="bottom"/>
            <w:hideMark/>
          </w:tcPr>
          <w:p w:rsidR="00FC05E5" w:rsidRPr="006973B5" w:rsidRDefault="00FC05E5" w:rsidP="00984E45">
            <w:pPr>
              <w:spacing w:after="0" w:line="240" w:lineRule="auto"/>
              <w:jc w:val="center"/>
              <w:rPr>
                <w:rFonts w:ascii="Times New Roman" w:eastAsia="Times New Roman" w:hAnsi="Times New Roman" w:cs="Times New Roman"/>
                <w:bCs/>
                <w:color w:val="000000"/>
                <w:sz w:val="20"/>
                <w:szCs w:val="20"/>
                <w:lang w:eastAsia="fr-FR"/>
              </w:rPr>
            </w:pPr>
            <w:r w:rsidRPr="006973B5">
              <w:rPr>
                <w:rFonts w:ascii="Times New Roman" w:eastAsia="Times New Roman" w:hAnsi="Times New Roman" w:cs="Times New Roman"/>
                <w:bCs/>
                <w:color w:val="000000"/>
                <w:sz w:val="20"/>
                <w:szCs w:val="20"/>
                <w:lang w:eastAsia="fr-FR"/>
              </w:rPr>
              <w:t>Homme</w:t>
            </w:r>
          </w:p>
        </w:tc>
        <w:tc>
          <w:tcPr>
            <w:tcW w:w="916" w:type="dxa"/>
            <w:tcBorders>
              <w:top w:val="single" w:sz="8" w:space="0" w:color="538135" w:themeColor="accent6" w:themeShade="BF"/>
              <w:bottom w:val="single" w:sz="18" w:space="0" w:color="538135" w:themeColor="accent6" w:themeShade="BF"/>
            </w:tcBorders>
            <w:shd w:val="clear" w:color="auto" w:fill="auto"/>
            <w:noWrap/>
            <w:vAlign w:val="bottom"/>
            <w:hideMark/>
          </w:tcPr>
          <w:p w:rsidR="00FC05E5" w:rsidRPr="006973B5" w:rsidRDefault="00FC05E5" w:rsidP="00984E45">
            <w:pPr>
              <w:spacing w:after="0" w:line="240" w:lineRule="auto"/>
              <w:jc w:val="center"/>
              <w:rPr>
                <w:rFonts w:ascii="Times New Roman" w:eastAsia="Times New Roman" w:hAnsi="Times New Roman" w:cs="Times New Roman"/>
                <w:bCs/>
                <w:color w:val="000000"/>
                <w:sz w:val="20"/>
                <w:szCs w:val="20"/>
                <w:lang w:eastAsia="fr-FR"/>
              </w:rPr>
            </w:pPr>
            <w:r w:rsidRPr="006973B5">
              <w:rPr>
                <w:rFonts w:ascii="Times New Roman" w:eastAsia="Times New Roman" w:hAnsi="Times New Roman" w:cs="Times New Roman"/>
                <w:bCs/>
                <w:color w:val="000000"/>
                <w:sz w:val="20"/>
                <w:szCs w:val="20"/>
                <w:lang w:eastAsia="fr-FR"/>
              </w:rPr>
              <w:t>Femme</w:t>
            </w:r>
          </w:p>
        </w:tc>
        <w:tc>
          <w:tcPr>
            <w:tcW w:w="785" w:type="dxa"/>
            <w:tcBorders>
              <w:top w:val="single" w:sz="8" w:space="0" w:color="538135" w:themeColor="accent6" w:themeShade="BF"/>
              <w:bottom w:val="single" w:sz="18" w:space="0" w:color="538135" w:themeColor="accent6" w:themeShade="BF"/>
            </w:tcBorders>
            <w:shd w:val="clear" w:color="auto" w:fill="auto"/>
            <w:noWrap/>
            <w:vAlign w:val="bottom"/>
            <w:hideMark/>
          </w:tcPr>
          <w:p w:rsidR="00FC05E5" w:rsidRPr="006973B5" w:rsidRDefault="00FC05E5" w:rsidP="00984E45">
            <w:pPr>
              <w:spacing w:after="0" w:line="240" w:lineRule="auto"/>
              <w:jc w:val="center"/>
              <w:rPr>
                <w:rFonts w:ascii="Times New Roman" w:eastAsia="Times New Roman" w:hAnsi="Times New Roman" w:cs="Times New Roman"/>
                <w:bCs/>
                <w:color w:val="000000"/>
                <w:sz w:val="20"/>
                <w:szCs w:val="20"/>
                <w:lang w:eastAsia="fr-FR"/>
              </w:rPr>
            </w:pPr>
            <w:r w:rsidRPr="006973B5">
              <w:rPr>
                <w:rFonts w:ascii="Times New Roman" w:eastAsia="Times New Roman" w:hAnsi="Times New Roman" w:cs="Times New Roman"/>
                <w:bCs/>
                <w:color w:val="000000"/>
                <w:sz w:val="20"/>
                <w:szCs w:val="20"/>
                <w:lang w:eastAsia="fr-FR"/>
              </w:rPr>
              <w:t>Homme</w:t>
            </w:r>
          </w:p>
        </w:tc>
        <w:tc>
          <w:tcPr>
            <w:tcW w:w="775" w:type="dxa"/>
            <w:tcBorders>
              <w:top w:val="single" w:sz="8" w:space="0" w:color="538135" w:themeColor="accent6" w:themeShade="BF"/>
              <w:bottom w:val="single" w:sz="18" w:space="0" w:color="538135" w:themeColor="accent6" w:themeShade="BF"/>
            </w:tcBorders>
            <w:shd w:val="clear" w:color="auto" w:fill="auto"/>
            <w:noWrap/>
            <w:vAlign w:val="bottom"/>
            <w:hideMark/>
          </w:tcPr>
          <w:p w:rsidR="00FC05E5" w:rsidRPr="006973B5" w:rsidRDefault="00FC05E5" w:rsidP="00984E45">
            <w:pPr>
              <w:spacing w:after="0" w:line="240" w:lineRule="auto"/>
              <w:jc w:val="center"/>
              <w:rPr>
                <w:rFonts w:ascii="Times New Roman" w:eastAsia="Times New Roman" w:hAnsi="Times New Roman" w:cs="Times New Roman"/>
                <w:bCs/>
                <w:color w:val="000000"/>
                <w:sz w:val="20"/>
                <w:szCs w:val="20"/>
                <w:lang w:eastAsia="fr-FR"/>
              </w:rPr>
            </w:pPr>
            <w:r w:rsidRPr="006973B5">
              <w:rPr>
                <w:rFonts w:ascii="Times New Roman" w:eastAsia="Times New Roman" w:hAnsi="Times New Roman" w:cs="Times New Roman"/>
                <w:bCs/>
                <w:color w:val="000000"/>
                <w:sz w:val="20"/>
                <w:szCs w:val="20"/>
                <w:lang w:eastAsia="fr-FR"/>
              </w:rPr>
              <w:t>Femme</w:t>
            </w:r>
          </w:p>
        </w:tc>
        <w:tc>
          <w:tcPr>
            <w:tcW w:w="850" w:type="dxa"/>
            <w:tcBorders>
              <w:top w:val="single" w:sz="8" w:space="0" w:color="538135" w:themeColor="accent6" w:themeShade="BF"/>
              <w:bottom w:val="single" w:sz="18" w:space="0" w:color="538135" w:themeColor="accent6" w:themeShade="BF"/>
            </w:tcBorders>
            <w:shd w:val="clear" w:color="auto" w:fill="auto"/>
            <w:noWrap/>
            <w:vAlign w:val="bottom"/>
            <w:hideMark/>
          </w:tcPr>
          <w:p w:rsidR="00FC05E5" w:rsidRPr="006973B5" w:rsidRDefault="00FC05E5" w:rsidP="00984E45">
            <w:pPr>
              <w:spacing w:after="0" w:line="240" w:lineRule="auto"/>
              <w:jc w:val="center"/>
              <w:rPr>
                <w:rFonts w:ascii="Times New Roman" w:eastAsia="Times New Roman" w:hAnsi="Times New Roman" w:cs="Times New Roman"/>
                <w:bCs/>
                <w:color w:val="000000"/>
                <w:sz w:val="20"/>
                <w:szCs w:val="20"/>
                <w:lang w:eastAsia="fr-FR"/>
              </w:rPr>
            </w:pPr>
            <w:r w:rsidRPr="006973B5">
              <w:rPr>
                <w:rFonts w:ascii="Times New Roman" w:eastAsia="Times New Roman" w:hAnsi="Times New Roman" w:cs="Times New Roman"/>
                <w:bCs/>
                <w:color w:val="000000"/>
                <w:sz w:val="20"/>
                <w:szCs w:val="20"/>
                <w:lang w:eastAsia="fr-FR"/>
              </w:rPr>
              <w:t>Homme</w:t>
            </w:r>
          </w:p>
        </w:tc>
        <w:tc>
          <w:tcPr>
            <w:tcW w:w="851" w:type="dxa"/>
            <w:tcBorders>
              <w:top w:val="single" w:sz="8" w:space="0" w:color="538135" w:themeColor="accent6" w:themeShade="BF"/>
              <w:bottom w:val="single" w:sz="18" w:space="0" w:color="538135" w:themeColor="accent6" w:themeShade="BF"/>
            </w:tcBorders>
            <w:shd w:val="clear" w:color="auto" w:fill="auto"/>
            <w:noWrap/>
            <w:vAlign w:val="bottom"/>
            <w:hideMark/>
          </w:tcPr>
          <w:p w:rsidR="00FC05E5" w:rsidRPr="006973B5" w:rsidRDefault="00FC05E5" w:rsidP="00984E45">
            <w:pPr>
              <w:spacing w:after="0" w:line="240" w:lineRule="auto"/>
              <w:jc w:val="center"/>
              <w:rPr>
                <w:rFonts w:ascii="Times New Roman" w:eastAsia="Times New Roman" w:hAnsi="Times New Roman" w:cs="Times New Roman"/>
                <w:bCs/>
                <w:color w:val="000000"/>
                <w:sz w:val="20"/>
                <w:szCs w:val="20"/>
                <w:lang w:eastAsia="fr-FR"/>
              </w:rPr>
            </w:pPr>
            <w:r w:rsidRPr="006973B5">
              <w:rPr>
                <w:rFonts w:ascii="Times New Roman" w:eastAsia="Times New Roman" w:hAnsi="Times New Roman" w:cs="Times New Roman"/>
                <w:bCs/>
                <w:color w:val="000000"/>
                <w:sz w:val="20"/>
                <w:szCs w:val="20"/>
                <w:lang w:eastAsia="fr-FR"/>
              </w:rPr>
              <w:t>Femme</w:t>
            </w:r>
          </w:p>
        </w:tc>
      </w:tr>
      <w:tr w:rsidR="00646207" w:rsidRPr="006973B5" w:rsidTr="00646207">
        <w:trPr>
          <w:trHeight w:val="203"/>
        </w:trPr>
        <w:tc>
          <w:tcPr>
            <w:tcW w:w="1276" w:type="dxa"/>
            <w:tcBorders>
              <w:top w:val="single" w:sz="18" w:space="0" w:color="538135" w:themeColor="accent6" w:themeShade="BF"/>
            </w:tcBorders>
            <w:shd w:val="clear" w:color="auto" w:fill="auto"/>
            <w:vAlign w:val="center"/>
            <w:hideMark/>
          </w:tcPr>
          <w:p w:rsidR="00984E45" w:rsidRPr="006973B5" w:rsidRDefault="00984E45" w:rsidP="00984E45">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Emploi</w:t>
            </w:r>
          </w:p>
        </w:tc>
        <w:tc>
          <w:tcPr>
            <w:tcW w:w="851" w:type="dxa"/>
            <w:tcBorders>
              <w:top w:val="single" w:sz="18" w:space="0" w:color="538135" w:themeColor="accent6" w:themeShade="BF"/>
            </w:tcBorders>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68,0</w:t>
            </w:r>
          </w:p>
        </w:tc>
        <w:tc>
          <w:tcPr>
            <w:tcW w:w="740" w:type="dxa"/>
            <w:tcBorders>
              <w:top w:val="single" w:sz="18" w:space="0" w:color="538135" w:themeColor="accent6" w:themeShade="BF"/>
            </w:tcBorders>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58,3</w:t>
            </w:r>
          </w:p>
        </w:tc>
        <w:tc>
          <w:tcPr>
            <w:tcW w:w="819" w:type="dxa"/>
            <w:tcBorders>
              <w:top w:val="single" w:sz="18" w:space="0" w:color="538135" w:themeColor="accent6" w:themeShade="BF"/>
            </w:tcBorders>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60,9</w:t>
            </w:r>
          </w:p>
        </w:tc>
        <w:tc>
          <w:tcPr>
            <w:tcW w:w="850" w:type="dxa"/>
            <w:tcBorders>
              <w:top w:val="single" w:sz="18" w:space="0" w:color="538135" w:themeColor="accent6" w:themeShade="BF"/>
            </w:tcBorders>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49,1</w:t>
            </w:r>
          </w:p>
        </w:tc>
        <w:tc>
          <w:tcPr>
            <w:tcW w:w="785" w:type="dxa"/>
            <w:tcBorders>
              <w:top w:val="single" w:sz="18" w:space="0" w:color="538135" w:themeColor="accent6" w:themeShade="BF"/>
            </w:tcBorders>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51,6</w:t>
            </w:r>
          </w:p>
        </w:tc>
        <w:tc>
          <w:tcPr>
            <w:tcW w:w="916" w:type="dxa"/>
            <w:tcBorders>
              <w:top w:val="single" w:sz="18" w:space="0" w:color="538135" w:themeColor="accent6" w:themeShade="BF"/>
            </w:tcBorders>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44,7</w:t>
            </w:r>
          </w:p>
        </w:tc>
        <w:tc>
          <w:tcPr>
            <w:tcW w:w="785" w:type="dxa"/>
            <w:tcBorders>
              <w:top w:val="single" w:sz="18" w:space="0" w:color="538135" w:themeColor="accent6" w:themeShade="BF"/>
            </w:tcBorders>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49,3</w:t>
            </w:r>
          </w:p>
        </w:tc>
        <w:tc>
          <w:tcPr>
            <w:tcW w:w="775" w:type="dxa"/>
            <w:tcBorders>
              <w:top w:val="single" w:sz="18" w:space="0" w:color="538135" w:themeColor="accent6" w:themeShade="BF"/>
            </w:tcBorders>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38,2</w:t>
            </w:r>
          </w:p>
        </w:tc>
        <w:tc>
          <w:tcPr>
            <w:tcW w:w="850" w:type="dxa"/>
            <w:tcBorders>
              <w:top w:val="single" w:sz="18" w:space="0" w:color="538135" w:themeColor="accent6" w:themeShade="BF"/>
            </w:tcBorders>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53,5</w:t>
            </w:r>
          </w:p>
        </w:tc>
        <w:tc>
          <w:tcPr>
            <w:tcW w:w="851" w:type="dxa"/>
            <w:tcBorders>
              <w:top w:val="single" w:sz="18" w:space="0" w:color="538135" w:themeColor="accent6" w:themeShade="BF"/>
            </w:tcBorders>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42,0</w:t>
            </w:r>
          </w:p>
        </w:tc>
      </w:tr>
      <w:tr w:rsidR="00646207" w:rsidRPr="006973B5" w:rsidTr="00646207">
        <w:trPr>
          <w:trHeight w:val="203"/>
        </w:trPr>
        <w:tc>
          <w:tcPr>
            <w:tcW w:w="1276" w:type="dxa"/>
            <w:shd w:val="clear" w:color="auto" w:fill="auto"/>
            <w:vAlign w:val="center"/>
            <w:hideMark/>
          </w:tcPr>
          <w:p w:rsidR="00984E45" w:rsidRPr="006973B5" w:rsidRDefault="00984E45" w:rsidP="00984E45">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Chômage</w:t>
            </w:r>
          </w:p>
        </w:tc>
        <w:tc>
          <w:tcPr>
            <w:tcW w:w="851"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w:t>
            </w:r>
          </w:p>
        </w:tc>
        <w:tc>
          <w:tcPr>
            <w:tcW w:w="740"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12,9</w:t>
            </w:r>
          </w:p>
        </w:tc>
        <w:tc>
          <w:tcPr>
            <w:tcW w:w="819"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10,3</w:t>
            </w:r>
          </w:p>
        </w:tc>
        <w:tc>
          <w:tcPr>
            <w:tcW w:w="850"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12,1</w:t>
            </w:r>
          </w:p>
        </w:tc>
        <w:tc>
          <w:tcPr>
            <w:tcW w:w="785"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20,7</w:t>
            </w:r>
          </w:p>
        </w:tc>
        <w:tc>
          <w:tcPr>
            <w:tcW w:w="916"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24,2</w:t>
            </w:r>
          </w:p>
        </w:tc>
        <w:tc>
          <w:tcPr>
            <w:tcW w:w="785"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29,6</w:t>
            </w:r>
          </w:p>
        </w:tc>
        <w:tc>
          <w:tcPr>
            <w:tcW w:w="775"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31,3</w:t>
            </w:r>
          </w:p>
        </w:tc>
        <w:tc>
          <w:tcPr>
            <w:tcW w:w="850"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19,8</w:t>
            </w:r>
          </w:p>
        </w:tc>
        <w:tc>
          <w:tcPr>
            <w:tcW w:w="851"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24</w:t>
            </w:r>
          </w:p>
        </w:tc>
      </w:tr>
      <w:tr w:rsidR="00646207" w:rsidRPr="006973B5" w:rsidTr="00646207">
        <w:trPr>
          <w:trHeight w:val="203"/>
        </w:trPr>
        <w:tc>
          <w:tcPr>
            <w:tcW w:w="1276" w:type="dxa"/>
            <w:shd w:val="clear" w:color="auto" w:fill="auto"/>
            <w:vAlign w:val="center"/>
            <w:hideMark/>
          </w:tcPr>
          <w:p w:rsidR="00984E45" w:rsidRPr="006973B5" w:rsidRDefault="00984E45" w:rsidP="00984E45">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Inactivité</w:t>
            </w:r>
          </w:p>
        </w:tc>
        <w:tc>
          <w:tcPr>
            <w:tcW w:w="851"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27,6</w:t>
            </w:r>
          </w:p>
        </w:tc>
        <w:tc>
          <w:tcPr>
            <w:tcW w:w="740"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33,1</w:t>
            </w:r>
          </w:p>
        </w:tc>
        <w:tc>
          <w:tcPr>
            <w:tcW w:w="819"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32,1</w:t>
            </w:r>
          </w:p>
        </w:tc>
        <w:tc>
          <w:tcPr>
            <w:tcW w:w="850"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44,1</w:t>
            </w:r>
          </w:p>
        </w:tc>
        <w:tc>
          <w:tcPr>
            <w:tcW w:w="785"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35</w:t>
            </w:r>
          </w:p>
        </w:tc>
        <w:tc>
          <w:tcPr>
            <w:tcW w:w="916"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41</w:t>
            </w:r>
          </w:p>
        </w:tc>
        <w:tc>
          <w:tcPr>
            <w:tcW w:w="785"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30</w:t>
            </w:r>
          </w:p>
        </w:tc>
        <w:tc>
          <w:tcPr>
            <w:tcW w:w="775"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44,4</w:t>
            </w:r>
          </w:p>
        </w:tc>
        <w:tc>
          <w:tcPr>
            <w:tcW w:w="850"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33,2</w:t>
            </w:r>
          </w:p>
        </w:tc>
        <w:tc>
          <w:tcPr>
            <w:tcW w:w="851" w:type="dxa"/>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44,7</w:t>
            </w:r>
          </w:p>
        </w:tc>
      </w:tr>
      <w:tr w:rsidR="00646207" w:rsidRPr="006973B5" w:rsidTr="00646207">
        <w:trPr>
          <w:trHeight w:val="203"/>
        </w:trPr>
        <w:tc>
          <w:tcPr>
            <w:tcW w:w="1276" w:type="dxa"/>
            <w:tcBorders>
              <w:bottom w:val="single" w:sz="18" w:space="0" w:color="538135" w:themeColor="accent6" w:themeShade="BF"/>
            </w:tcBorders>
            <w:shd w:val="clear" w:color="auto" w:fill="auto"/>
            <w:vAlign w:val="center"/>
            <w:hideMark/>
          </w:tcPr>
          <w:p w:rsidR="00984E45" w:rsidRPr="006973B5" w:rsidRDefault="00984E45" w:rsidP="00984E45">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Sous-emploi</w:t>
            </w:r>
          </w:p>
        </w:tc>
        <w:tc>
          <w:tcPr>
            <w:tcW w:w="851" w:type="dxa"/>
            <w:tcBorders>
              <w:bottom w:val="single" w:sz="18" w:space="0" w:color="538135" w:themeColor="accent6" w:themeShade="BF"/>
            </w:tcBorders>
            <w:shd w:val="clear" w:color="auto" w:fill="auto"/>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7,1</w:t>
            </w:r>
          </w:p>
        </w:tc>
        <w:tc>
          <w:tcPr>
            <w:tcW w:w="740" w:type="dxa"/>
            <w:tcBorders>
              <w:bottom w:val="single" w:sz="18" w:space="0" w:color="538135" w:themeColor="accent6" w:themeShade="BF"/>
            </w:tcBorders>
            <w:shd w:val="clear" w:color="auto" w:fill="auto"/>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18,1</w:t>
            </w:r>
          </w:p>
        </w:tc>
        <w:tc>
          <w:tcPr>
            <w:tcW w:w="819" w:type="dxa"/>
            <w:tcBorders>
              <w:bottom w:val="single" w:sz="18" w:space="0" w:color="538135" w:themeColor="accent6" w:themeShade="BF"/>
            </w:tcBorders>
            <w:shd w:val="clear" w:color="auto" w:fill="auto"/>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4,9</w:t>
            </w:r>
          </w:p>
        </w:tc>
        <w:tc>
          <w:tcPr>
            <w:tcW w:w="850" w:type="dxa"/>
            <w:tcBorders>
              <w:bottom w:val="single" w:sz="18" w:space="0" w:color="538135" w:themeColor="accent6" w:themeShade="BF"/>
            </w:tcBorders>
            <w:shd w:val="clear" w:color="auto" w:fill="auto"/>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18,8</w:t>
            </w:r>
          </w:p>
        </w:tc>
        <w:tc>
          <w:tcPr>
            <w:tcW w:w="785" w:type="dxa"/>
            <w:tcBorders>
              <w:bottom w:val="single" w:sz="18" w:space="0" w:color="538135" w:themeColor="accent6" w:themeShade="BF"/>
            </w:tcBorders>
            <w:shd w:val="clear" w:color="auto" w:fill="auto"/>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4,3</w:t>
            </w:r>
          </w:p>
        </w:tc>
        <w:tc>
          <w:tcPr>
            <w:tcW w:w="916" w:type="dxa"/>
            <w:tcBorders>
              <w:bottom w:val="single" w:sz="18" w:space="0" w:color="538135" w:themeColor="accent6" w:themeShade="BF"/>
            </w:tcBorders>
            <w:shd w:val="clear" w:color="auto" w:fill="auto"/>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15,4</w:t>
            </w:r>
          </w:p>
        </w:tc>
        <w:tc>
          <w:tcPr>
            <w:tcW w:w="785" w:type="dxa"/>
            <w:tcBorders>
              <w:bottom w:val="single" w:sz="18" w:space="0" w:color="538135" w:themeColor="accent6" w:themeShade="BF"/>
            </w:tcBorders>
            <w:shd w:val="clear" w:color="auto" w:fill="auto"/>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5,2</w:t>
            </w:r>
          </w:p>
        </w:tc>
        <w:tc>
          <w:tcPr>
            <w:tcW w:w="775" w:type="dxa"/>
            <w:tcBorders>
              <w:bottom w:val="single" w:sz="18" w:space="0" w:color="538135" w:themeColor="accent6" w:themeShade="BF"/>
            </w:tcBorders>
            <w:shd w:val="clear" w:color="auto" w:fill="auto"/>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19,7</w:t>
            </w:r>
          </w:p>
        </w:tc>
        <w:tc>
          <w:tcPr>
            <w:tcW w:w="850" w:type="dxa"/>
            <w:tcBorders>
              <w:bottom w:val="single" w:sz="18" w:space="0" w:color="538135" w:themeColor="accent6" w:themeShade="BF"/>
            </w:tcBorders>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4,7</w:t>
            </w:r>
          </w:p>
        </w:tc>
        <w:tc>
          <w:tcPr>
            <w:tcW w:w="851" w:type="dxa"/>
            <w:tcBorders>
              <w:bottom w:val="single" w:sz="18" w:space="0" w:color="538135" w:themeColor="accent6" w:themeShade="BF"/>
            </w:tcBorders>
            <w:shd w:val="clear" w:color="auto" w:fill="auto"/>
            <w:noWrap/>
            <w:vAlign w:val="center"/>
            <w:hideMark/>
          </w:tcPr>
          <w:p w:rsidR="00984E45" w:rsidRPr="006973B5" w:rsidRDefault="00984E45" w:rsidP="00984E45">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18,8</w:t>
            </w:r>
          </w:p>
        </w:tc>
      </w:tr>
    </w:tbl>
    <w:p w:rsidR="0007435E" w:rsidRPr="006973B5" w:rsidRDefault="0007435E" w:rsidP="0007435E">
      <w:pPr>
        <w:spacing w:after="0"/>
        <w:rPr>
          <w:rFonts w:ascii="Times New Roman" w:hAnsi="Times New Roman" w:cs="Times New Roman"/>
          <w:i/>
          <w:sz w:val="20"/>
          <w:szCs w:val="20"/>
          <w:lang w:val="en-GB"/>
        </w:rPr>
      </w:pPr>
      <w:r w:rsidRPr="006973B5">
        <w:rPr>
          <w:rFonts w:ascii="Times New Roman" w:hAnsi="Times New Roman" w:cs="Times New Roman"/>
          <w:sz w:val="20"/>
          <w:szCs w:val="20"/>
          <w:u w:val="single"/>
        </w:rPr>
        <w:t>Source :</w:t>
      </w:r>
      <w:r w:rsidRPr="006973B5">
        <w:rPr>
          <w:rFonts w:ascii="Times New Roman" w:hAnsi="Times New Roman" w:cs="Times New Roman"/>
          <w:sz w:val="20"/>
          <w:szCs w:val="20"/>
        </w:rPr>
        <w:t xml:space="preserve"> ONEF, à partir des données</w:t>
      </w:r>
      <w:r w:rsidRPr="006973B5">
        <w:rPr>
          <w:rFonts w:ascii="Times New Roman" w:hAnsi="Times New Roman" w:cs="Times New Roman"/>
          <w:i/>
          <w:sz w:val="20"/>
          <w:szCs w:val="20"/>
          <w:lang w:val="en-GB"/>
        </w:rPr>
        <w:t xml:space="preserve"> EMOP-</w:t>
      </w:r>
      <w:r>
        <w:rPr>
          <w:rFonts w:ascii="Times New Roman" w:hAnsi="Times New Roman" w:cs="Times New Roman"/>
          <w:i/>
          <w:sz w:val="20"/>
          <w:szCs w:val="20"/>
          <w:lang w:val="en-GB"/>
        </w:rPr>
        <w:t>2013-</w:t>
      </w:r>
      <w:r w:rsidRPr="006973B5">
        <w:rPr>
          <w:rFonts w:ascii="Times New Roman" w:hAnsi="Times New Roman" w:cs="Times New Roman"/>
          <w:i/>
          <w:sz w:val="20"/>
          <w:szCs w:val="20"/>
          <w:lang w:val="en-GB"/>
        </w:rPr>
        <w:t>2017</w:t>
      </w:r>
    </w:p>
    <w:p w:rsidR="00984E45" w:rsidRPr="006973B5" w:rsidRDefault="00984E45" w:rsidP="00786A6A">
      <w:pPr>
        <w:rPr>
          <w:rFonts w:ascii="Times New Roman" w:hAnsi="Times New Roman" w:cs="Times New Roman"/>
          <w:bCs/>
          <w:iCs/>
          <w:sz w:val="24"/>
          <w:szCs w:val="20"/>
        </w:rPr>
      </w:pPr>
    </w:p>
    <w:p w:rsidR="00786A6A" w:rsidRPr="006973B5" w:rsidRDefault="00DF18E7" w:rsidP="00783CE7">
      <w:pPr>
        <w:jc w:val="both"/>
        <w:rPr>
          <w:rFonts w:ascii="Times New Roman" w:hAnsi="Times New Roman" w:cs="Times New Roman"/>
          <w:sz w:val="24"/>
        </w:rPr>
      </w:pPr>
      <w:r w:rsidRPr="006973B5">
        <w:rPr>
          <w:rFonts w:ascii="Times New Roman" w:hAnsi="Times New Roman" w:cs="Times New Roman"/>
          <w:sz w:val="24"/>
        </w:rPr>
        <w:lastRenderedPageBreak/>
        <w:t>L’inégalité entre les hommes et les femmes sur le marché du travail</w:t>
      </w:r>
      <w:r w:rsidR="00A76A78" w:rsidRPr="006973B5">
        <w:rPr>
          <w:rFonts w:ascii="Times New Roman" w:hAnsi="Times New Roman" w:cs="Times New Roman"/>
          <w:sz w:val="24"/>
        </w:rPr>
        <w:t xml:space="preserve"> </w:t>
      </w:r>
      <w:r w:rsidR="00646207" w:rsidRPr="006973B5">
        <w:rPr>
          <w:rFonts w:ascii="Times New Roman" w:hAnsi="Times New Roman" w:cs="Times New Roman"/>
          <w:bCs/>
          <w:iCs/>
          <w:sz w:val="24"/>
          <w:szCs w:val="20"/>
        </w:rPr>
        <w:t xml:space="preserve">existe dans un peu partout dans le monde. Elle </w:t>
      </w:r>
      <w:r w:rsidR="00A76A78" w:rsidRPr="006973B5">
        <w:rPr>
          <w:rFonts w:ascii="Times New Roman" w:hAnsi="Times New Roman" w:cs="Times New Roman"/>
          <w:sz w:val="24"/>
        </w:rPr>
        <w:t>s’expliquerait par l</w:t>
      </w:r>
      <w:r w:rsidRPr="006973B5">
        <w:rPr>
          <w:rFonts w:ascii="Times New Roman" w:hAnsi="Times New Roman" w:cs="Times New Roman"/>
          <w:sz w:val="24"/>
        </w:rPr>
        <w:t xml:space="preserve">es obligations sociétales et familiales qui empêchent </w:t>
      </w:r>
      <w:r w:rsidR="00A76A78" w:rsidRPr="006973B5">
        <w:rPr>
          <w:rFonts w:ascii="Times New Roman" w:hAnsi="Times New Roman" w:cs="Times New Roman"/>
          <w:sz w:val="24"/>
        </w:rPr>
        <w:t xml:space="preserve">les femmes </w:t>
      </w:r>
      <w:r w:rsidRPr="006973B5">
        <w:rPr>
          <w:rFonts w:ascii="Times New Roman" w:hAnsi="Times New Roman" w:cs="Times New Roman"/>
          <w:sz w:val="24"/>
        </w:rPr>
        <w:t>d’étudier et travailler pour être indépendantes financièrement.</w:t>
      </w:r>
      <w:r w:rsidR="00646207" w:rsidRPr="006973B5">
        <w:rPr>
          <w:rFonts w:ascii="Times New Roman" w:hAnsi="Times New Roman" w:cs="Times New Roman"/>
          <w:sz w:val="24"/>
        </w:rPr>
        <w:t xml:space="preserve"> </w:t>
      </w:r>
      <w:r w:rsidR="00783CE7" w:rsidRPr="006973B5">
        <w:rPr>
          <w:rFonts w:ascii="Times New Roman" w:hAnsi="Times New Roman" w:cs="Times New Roman"/>
          <w:sz w:val="24"/>
        </w:rPr>
        <w:t>O</w:t>
      </w:r>
      <w:r w:rsidR="00A76A78" w:rsidRPr="006973B5">
        <w:rPr>
          <w:rFonts w:ascii="Times New Roman" w:hAnsi="Times New Roman" w:cs="Times New Roman"/>
          <w:sz w:val="24"/>
        </w:rPr>
        <w:t>n impose aux filles de s’occuper de la cuisine, du ménage et des enfants au lieu de faire des études et travailler pour subvenir à leurs besoins</w:t>
      </w:r>
      <w:r w:rsidR="00B0636A" w:rsidRPr="006973B5">
        <w:rPr>
          <w:rFonts w:ascii="Times New Roman" w:hAnsi="Times New Roman" w:cs="Times New Roman"/>
          <w:sz w:val="24"/>
        </w:rPr>
        <w:t>.</w:t>
      </w:r>
    </w:p>
    <w:p w:rsidR="003E3BCD" w:rsidRPr="006973B5" w:rsidRDefault="003E3BCD" w:rsidP="00937EDF">
      <w:pPr>
        <w:pStyle w:val="Titre2"/>
        <w:numPr>
          <w:ilvl w:val="1"/>
          <w:numId w:val="14"/>
        </w:numPr>
        <w:rPr>
          <w:rFonts w:ascii="Times New Roman" w:hAnsi="Times New Roman" w:cs="Times New Roman"/>
          <w:b/>
          <w:color w:val="auto"/>
          <w:sz w:val="28"/>
        </w:rPr>
      </w:pPr>
      <w:bookmarkStart w:id="16" w:name="_Toc516676412"/>
      <w:r w:rsidRPr="006973B5">
        <w:rPr>
          <w:rFonts w:ascii="Times New Roman" w:hAnsi="Times New Roman" w:cs="Times New Roman"/>
          <w:b/>
          <w:color w:val="auto"/>
          <w:sz w:val="28"/>
        </w:rPr>
        <w:t xml:space="preserve">Evolution selon </w:t>
      </w:r>
      <w:r w:rsidR="00561F2F" w:rsidRPr="006973B5">
        <w:rPr>
          <w:rFonts w:ascii="Times New Roman" w:hAnsi="Times New Roman" w:cs="Times New Roman"/>
          <w:b/>
          <w:color w:val="auto"/>
          <w:sz w:val="28"/>
        </w:rPr>
        <w:t>la zone de résidence</w:t>
      </w:r>
      <w:bookmarkEnd w:id="16"/>
    </w:p>
    <w:p w:rsidR="003E3BCD" w:rsidRPr="006973B5" w:rsidRDefault="003E3BCD">
      <w:pPr>
        <w:rPr>
          <w:rFonts w:ascii="Times New Roman" w:hAnsi="Times New Roman" w:cs="Times New Roman"/>
          <w:b/>
          <w:bCs/>
          <w:iCs/>
          <w:sz w:val="20"/>
          <w:szCs w:val="20"/>
        </w:rPr>
      </w:pPr>
    </w:p>
    <w:p w:rsidR="00B0636A" w:rsidRPr="006973B5" w:rsidRDefault="00B0636A" w:rsidP="005B0E05">
      <w:pPr>
        <w:jc w:val="both"/>
        <w:rPr>
          <w:rFonts w:ascii="Times New Roman" w:hAnsi="Times New Roman" w:cs="Times New Roman"/>
          <w:bCs/>
          <w:iCs/>
          <w:sz w:val="24"/>
          <w:szCs w:val="20"/>
        </w:rPr>
      </w:pPr>
      <w:r w:rsidRPr="006973B5">
        <w:rPr>
          <w:rFonts w:ascii="Times New Roman" w:hAnsi="Times New Roman" w:cs="Times New Roman"/>
          <w:bCs/>
          <w:iCs/>
          <w:sz w:val="24"/>
          <w:szCs w:val="20"/>
        </w:rPr>
        <w:t>De 2013 à 2017, nous constatons que le taux d’emploi des jeunes résidant en milieu rural dépasse celui des jeunes vivant à Bamako et</w:t>
      </w:r>
      <w:r w:rsidR="00AA08E6" w:rsidRPr="006973B5">
        <w:rPr>
          <w:rFonts w:ascii="Times New Roman" w:hAnsi="Times New Roman" w:cs="Times New Roman"/>
          <w:bCs/>
          <w:iCs/>
          <w:sz w:val="24"/>
          <w:szCs w:val="20"/>
        </w:rPr>
        <w:t xml:space="preserve"> dans autre milieu urbain. Par </w:t>
      </w:r>
      <w:r w:rsidRPr="006973B5">
        <w:rPr>
          <w:rFonts w:ascii="Times New Roman" w:hAnsi="Times New Roman" w:cs="Times New Roman"/>
          <w:bCs/>
          <w:iCs/>
          <w:sz w:val="24"/>
          <w:szCs w:val="20"/>
        </w:rPr>
        <w:t xml:space="preserve">contre, les jeunes redisant à Bamako et </w:t>
      </w:r>
      <w:r w:rsidR="005B0E05" w:rsidRPr="006973B5">
        <w:rPr>
          <w:rFonts w:ascii="Times New Roman" w:hAnsi="Times New Roman" w:cs="Times New Roman"/>
          <w:bCs/>
          <w:iCs/>
          <w:sz w:val="24"/>
          <w:szCs w:val="20"/>
        </w:rPr>
        <w:t>dans d’</w:t>
      </w:r>
      <w:r w:rsidRPr="006973B5">
        <w:rPr>
          <w:rFonts w:ascii="Times New Roman" w:hAnsi="Times New Roman" w:cs="Times New Roman"/>
          <w:bCs/>
          <w:iCs/>
          <w:sz w:val="24"/>
          <w:szCs w:val="20"/>
        </w:rPr>
        <w:t>autre</w:t>
      </w:r>
      <w:r w:rsidR="005B0E05" w:rsidRPr="006973B5">
        <w:rPr>
          <w:rFonts w:ascii="Times New Roman" w:hAnsi="Times New Roman" w:cs="Times New Roman"/>
          <w:bCs/>
          <w:iCs/>
          <w:sz w:val="24"/>
          <w:szCs w:val="20"/>
        </w:rPr>
        <w:t>s</w:t>
      </w:r>
      <w:r w:rsidRPr="006973B5">
        <w:rPr>
          <w:rFonts w:ascii="Times New Roman" w:hAnsi="Times New Roman" w:cs="Times New Roman"/>
          <w:bCs/>
          <w:iCs/>
          <w:sz w:val="24"/>
          <w:szCs w:val="20"/>
        </w:rPr>
        <w:t xml:space="preserve"> ville</w:t>
      </w:r>
      <w:r w:rsidR="005B0E05" w:rsidRPr="006973B5">
        <w:rPr>
          <w:rFonts w:ascii="Times New Roman" w:hAnsi="Times New Roman" w:cs="Times New Roman"/>
          <w:bCs/>
          <w:iCs/>
          <w:sz w:val="24"/>
          <w:szCs w:val="20"/>
        </w:rPr>
        <w:t>s</w:t>
      </w:r>
      <w:r w:rsidRPr="006973B5">
        <w:rPr>
          <w:rFonts w:ascii="Times New Roman" w:hAnsi="Times New Roman" w:cs="Times New Roman"/>
          <w:bCs/>
          <w:iCs/>
          <w:sz w:val="24"/>
          <w:szCs w:val="20"/>
        </w:rPr>
        <w:t xml:space="preserve"> urbaines sont </w:t>
      </w:r>
      <w:r w:rsidR="005B0E05" w:rsidRPr="006973B5">
        <w:rPr>
          <w:rFonts w:ascii="Times New Roman" w:hAnsi="Times New Roman" w:cs="Times New Roman"/>
          <w:bCs/>
          <w:iCs/>
          <w:sz w:val="24"/>
          <w:szCs w:val="20"/>
        </w:rPr>
        <w:t xml:space="preserve">plus touchés par le chômage, le sous-emploi et l’inactivité. </w:t>
      </w:r>
      <w:r w:rsidR="005E2CCE" w:rsidRPr="006973B5">
        <w:rPr>
          <w:rFonts w:ascii="Times New Roman" w:hAnsi="Times New Roman" w:cs="Times New Roman"/>
          <w:bCs/>
          <w:iCs/>
          <w:sz w:val="24"/>
          <w:szCs w:val="20"/>
        </w:rPr>
        <w:t>En 2013, 74,6 des jeunes vivant en milieu rural étaient en emploi contre seulement 34,2% des jeunes vivant dans la Capitale, soit 40 points d’écart. En 2017, malgré la baisse générale du taux d’emploi, il est resté plus élevé chez les jeunes ruraux comparativement aux jeunes citadins (55,1% contre 30,2%).</w:t>
      </w:r>
    </w:p>
    <w:p w:rsidR="00584DFB" w:rsidRPr="006973B5" w:rsidRDefault="005E2CCE" w:rsidP="00E03351">
      <w:pPr>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Le manque d’emploi pour les jeunes </w:t>
      </w:r>
      <w:r w:rsidR="00AA2ED1" w:rsidRPr="006973B5">
        <w:rPr>
          <w:rFonts w:ascii="Times New Roman" w:hAnsi="Times New Roman" w:cs="Times New Roman"/>
          <w:bCs/>
          <w:iCs/>
          <w:sz w:val="24"/>
          <w:szCs w:val="20"/>
        </w:rPr>
        <w:t xml:space="preserve">résidant </w:t>
      </w:r>
      <w:r w:rsidRPr="006973B5">
        <w:rPr>
          <w:rFonts w:ascii="Times New Roman" w:hAnsi="Times New Roman" w:cs="Times New Roman"/>
          <w:bCs/>
          <w:iCs/>
          <w:sz w:val="24"/>
          <w:szCs w:val="20"/>
        </w:rPr>
        <w:t xml:space="preserve">en milieu </w:t>
      </w:r>
      <w:r w:rsidR="00AA2ED1" w:rsidRPr="006973B5">
        <w:rPr>
          <w:rFonts w:ascii="Times New Roman" w:hAnsi="Times New Roman" w:cs="Times New Roman"/>
          <w:bCs/>
          <w:iCs/>
          <w:sz w:val="24"/>
          <w:szCs w:val="20"/>
        </w:rPr>
        <w:t>urbain</w:t>
      </w:r>
      <w:r w:rsidRPr="006973B5">
        <w:rPr>
          <w:rFonts w:ascii="Times New Roman" w:hAnsi="Times New Roman" w:cs="Times New Roman"/>
          <w:bCs/>
          <w:iCs/>
          <w:sz w:val="24"/>
          <w:szCs w:val="20"/>
        </w:rPr>
        <w:t xml:space="preserve"> </w:t>
      </w:r>
      <w:r w:rsidR="001D73BE" w:rsidRPr="006973B5">
        <w:rPr>
          <w:rFonts w:ascii="Times New Roman" w:hAnsi="Times New Roman" w:cs="Times New Roman"/>
          <w:bCs/>
          <w:iCs/>
          <w:sz w:val="24"/>
          <w:szCs w:val="20"/>
        </w:rPr>
        <w:t xml:space="preserve">s’explique </w:t>
      </w:r>
      <w:r w:rsidRPr="006973B5">
        <w:rPr>
          <w:rFonts w:ascii="Times New Roman" w:hAnsi="Times New Roman" w:cs="Times New Roman"/>
          <w:bCs/>
          <w:iCs/>
          <w:sz w:val="24"/>
          <w:szCs w:val="20"/>
        </w:rPr>
        <w:t xml:space="preserve">par </w:t>
      </w:r>
      <w:r w:rsidR="00AA2ED1" w:rsidRPr="006973B5">
        <w:rPr>
          <w:rFonts w:ascii="Times New Roman" w:hAnsi="Times New Roman" w:cs="Times New Roman"/>
          <w:bCs/>
          <w:iCs/>
          <w:sz w:val="24"/>
          <w:szCs w:val="20"/>
        </w:rPr>
        <w:t>la pression démographique due à un taux d’urbanisation de plus en plus élevé.</w:t>
      </w:r>
      <w:r w:rsidR="003D6399" w:rsidRPr="006973B5">
        <w:rPr>
          <w:rFonts w:ascii="Times New Roman" w:hAnsi="Times New Roman" w:cs="Times New Roman"/>
          <w:bCs/>
          <w:iCs/>
          <w:sz w:val="24"/>
          <w:szCs w:val="20"/>
        </w:rPr>
        <w:t xml:space="preserve"> La population urbaine a augmenté de 6,1% entre 1998 et 2009 contre 4,2% entre 1987 et 1998</w:t>
      </w:r>
      <w:r w:rsidR="003D6399" w:rsidRPr="006973B5">
        <w:rPr>
          <w:rStyle w:val="Appelnotedebasdep"/>
          <w:rFonts w:ascii="Times New Roman" w:hAnsi="Times New Roman" w:cs="Times New Roman"/>
          <w:bCs/>
          <w:iCs/>
          <w:sz w:val="24"/>
          <w:szCs w:val="20"/>
        </w:rPr>
        <w:footnoteReference w:id="2"/>
      </w:r>
      <w:r w:rsidR="003D6399" w:rsidRPr="006973B5">
        <w:rPr>
          <w:rFonts w:ascii="Times New Roman" w:hAnsi="Times New Roman" w:cs="Times New Roman"/>
          <w:bCs/>
          <w:iCs/>
          <w:sz w:val="24"/>
          <w:szCs w:val="20"/>
        </w:rPr>
        <w:t xml:space="preserve">. </w:t>
      </w:r>
      <w:r w:rsidR="00AA2ED1" w:rsidRPr="006973B5">
        <w:rPr>
          <w:rFonts w:ascii="Times New Roman" w:hAnsi="Times New Roman" w:cs="Times New Roman"/>
          <w:bCs/>
          <w:iCs/>
          <w:sz w:val="24"/>
          <w:szCs w:val="20"/>
        </w:rPr>
        <w:t xml:space="preserve"> </w:t>
      </w:r>
      <w:r w:rsidR="001D73BE" w:rsidRPr="006973B5">
        <w:rPr>
          <w:rFonts w:ascii="Times New Roman" w:hAnsi="Times New Roman" w:cs="Times New Roman"/>
          <w:bCs/>
          <w:iCs/>
          <w:sz w:val="24"/>
          <w:szCs w:val="20"/>
        </w:rPr>
        <w:t xml:space="preserve">En plus de cette urbanisation rapide, il faut également signaler le manque de dynamisme du secteur privé à créer des emplois et l’insuffisance des investissements en infrastructures par l’Etat. </w:t>
      </w:r>
      <w:r w:rsidR="004D3B00" w:rsidRPr="006973B5">
        <w:rPr>
          <w:rFonts w:ascii="Times New Roman" w:hAnsi="Times New Roman" w:cs="Times New Roman"/>
          <w:bCs/>
          <w:iCs/>
          <w:sz w:val="24"/>
          <w:szCs w:val="20"/>
        </w:rPr>
        <w:t>Selon Freire et al. (2014)</w:t>
      </w:r>
      <w:r w:rsidR="004D3B00" w:rsidRPr="006973B5">
        <w:rPr>
          <w:rStyle w:val="Appelnotedebasdep"/>
          <w:rFonts w:ascii="Times New Roman" w:hAnsi="Times New Roman" w:cs="Times New Roman"/>
          <w:bCs/>
          <w:iCs/>
          <w:sz w:val="24"/>
          <w:szCs w:val="20"/>
        </w:rPr>
        <w:footnoteReference w:id="3"/>
      </w:r>
      <w:r w:rsidR="00E03351" w:rsidRPr="006973B5">
        <w:rPr>
          <w:rFonts w:ascii="Times New Roman" w:hAnsi="Times New Roman" w:cs="Times New Roman"/>
          <w:bCs/>
          <w:iCs/>
          <w:sz w:val="24"/>
          <w:szCs w:val="20"/>
        </w:rPr>
        <w:t xml:space="preserve">, bon </w:t>
      </w:r>
      <w:r w:rsidR="004D3B00" w:rsidRPr="006973B5">
        <w:rPr>
          <w:rFonts w:ascii="Times New Roman" w:hAnsi="Times New Roman" w:cs="Times New Roman"/>
          <w:bCs/>
          <w:iCs/>
          <w:sz w:val="24"/>
          <w:szCs w:val="20"/>
        </w:rPr>
        <w:t xml:space="preserve">nombreux </w:t>
      </w:r>
      <w:r w:rsidR="00584DFB" w:rsidRPr="006973B5">
        <w:rPr>
          <w:rFonts w:ascii="Times New Roman" w:hAnsi="Times New Roman" w:cs="Times New Roman"/>
          <w:bCs/>
          <w:iCs/>
          <w:sz w:val="24"/>
          <w:szCs w:val="20"/>
        </w:rPr>
        <w:t xml:space="preserve">de </w:t>
      </w:r>
      <w:r w:rsidR="004D3B00" w:rsidRPr="006973B5">
        <w:rPr>
          <w:rFonts w:ascii="Times New Roman" w:hAnsi="Times New Roman" w:cs="Times New Roman"/>
          <w:bCs/>
          <w:iCs/>
          <w:sz w:val="24"/>
          <w:szCs w:val="20"/>
        </w:rPr>
        <w:t xml:space="preserve">pays </w:t>
      </w:r>
      <w:r w:rsidR="00584DFB" w:rsidRPr="006973B5">
        <w:rPr>
          <w:rFonts w:ascii="Times New Roman" w:hAnsi="Times New Roman" w:cs="Times New Roman"/>
          <w:bCs/>
          <w:iCs/>
          <w:sz w:val="24"/>
          <w:szCs w:val="20"/>
        </w:rPr>
        <w:t>africain</w:t>
      </w:r>
      <w:r w:rsidR="004D3B00" w:rsidRPr="006973B5">
        <w:rPr>
          <w:rFonts w:ascii="Times New Roman" w:hAnsi="Times New Roman" w:cs="Times New Roman"/>
          <w:bCs/>
          <w:iCs/>
          <w:sz w:val="24"/>
          <w:szCs w:val="20"/>
        </w:rPr>
        <w:t xml:space="preserve"> n’obéissent pas au modèle d’urbanisation standard</w:t>
      </w:r>
      <w:r w:rsidR="00E03351" w:rsidRPr="006973B5">
        <w:rPr>
          <w:rFonts w:ascii="Times New Roman" w:hAnsi="Times New Roman" w:cs="Times New Roman"/>
          <w:bCs/>
          <w:iCs/>
          <w:sz w:val="24"/>
          <w:szCs w:val="20"/>
        </w:rPr>
        <w:t xml:space="preserve"> qui </w:t>
      </w:r>
      <w:r w:rsidR="004D3B00" w:rsidRPr="006973B5">
        <w:rPr>
          <w:rFonts w:ascii="Times New Roman" w:hAnsi="Times New Roman" w:cs="Times New Roman"/>
          <w:bCs/>
          <w:iCs/>
          <w:sz w:val="24"/>
          <w:szCs w:val="20"/>
        </w:rPr>
        <w:t xml:space="preserve">repose sur l’industrialisation des villes. </w:t>
      </w:r>
    </w:p>
    <w:p w:rsidR="005C096D" w:rsidRPr="006973B5" w:rsidRDefault="005C096D">
      <w:pPr>
        <w:rPr>
          <w:rFonts w:ascii="Times New Roman" w:hAnsi="Times New Roman" w:cs="Times New Roman"/>
          <w:b/>
          <w:bCs/>
          <w:iCs/>
          <w:sz w:val="20"/>
          <w:szCs w:val="20"/>
        </w:rPr>
      </w:pPr>
    </w:p>
    <w:p w:rsidR="006973B5" w:rsidRPr="006973B5" w:rsidRDefault="006973B5" w:rsidP="006973B5">
      <w:pPr>
        <w:pStyle w:val="Lgende"/>
        <w:keepNext/>
        <w:rPr>
          <w:color w:val="auto"/>
          <w:sz w:val="20"/>
        </w:rPr>
      </w:pPr>
      <w:bookmarkStart w:id="17" w:name="_Toc516674358"/>
      <w:r w:rsidRPr="006973B5">
        <w:rPr>
          <w:color w:val="auto"/>
          <w:sz w:val="20"/>
        </w:rPr>
        <w:t xml:space="preserve">Figure </w:t>
      </w:r>
      <w:r w:rsidRPr="006973B5">
        <w:rPr>
          <w:color w:val="auto"/>
          <w:sz w:val="20"/>
        </w:rPr>
        <w:fldChar w:fldCharType="begin"/>
      </w:r>
      <w:r w:rsidRPr="006973B5">
        <w:rPr>
          <w:color w:val="auto"/>
          <w:sz w:val="20"/>
        </w:rPr>
        <w:instrText xml:space="preserve"> SEQ Figure \* ARABIC </w:instrText>
      </w:r>
      <w:r w:rsidRPr="006973B5">
        <w:rPr>
          <w:color w:val="auto"/>
          <w:sz w:val="20"/>
        </w:rPr>
        <w:fldChar w:fldCharType="separate"/>
      </w:r>
      <w:r w:rsidRPr="006973B5">
        <w:rPr>
          <w:noProof/>
          <w:color w:val="auto"/>
          <w:sz w:val="20"/>
        </w:rPr>
        <w:t>3</w:t>
      </w:r>
      <w:r w:rsidRPr="006973B5">
        <w:rPr>
          <w:color w:val="auto"/>
          <w:sz w:val="20"/>
        </w:rPr>
        <w:fldChar w:fldCharType="end"/>
      </w:r>
      <w:r w:rsidRPr="006973B5">
        <w:rPr>
          <w:color w:val="auto"/>
          <w:sz w:val="20"/>
        </w:rPr>
        <w:t>.</w:t>
      </w:r>
      <w:r w:rsidR="00AD3E3E" w:rsidRPr="006973B5">
        <w:rPr>
          <w:color w:val="auto"/>
          <w:sz w:val="20"/>
        </w:rPr>
        <w:t xml:space="preserve"> Evolution</w:t>
      </w:r>
      <w:r w:rsidRPr="006973B5">
        <w:rPr>
          <w:color w:val="auto"/>
          <w:sz w:val="20"/>
        </w:rPr>
        <w:t xml:space="preserve"> des principaux indicateurs selon la zone de résidence</w:t>
      </w:r>
      <w:bookmarkEnd w:id="17"/>
    </w:p>
    <w:p w:rsidR="00F13895" w:rsidRPr="006973B5" w:rsidRDefault="00C24359">
      <w:pPr>
        <w:rPr>
          <w:rFonts w:ascii="Times New Roman" w:hAnsi="Times New Roman" w:cs="Times New Roman"/>
          <w:b/>
          <w:bCs/>
          <w:iCs/>
          <w:sz w:val="20"/>
          <w:szCs w:val="20"/>
        </w:rPr>
      </w:pPr>
      <w:r w:rsidRPr="006973B5">
        <w:rPr>
          <w:noProof/>
          <w:lang w:eastAsia="fr-FR"/>
        </w:rPr>
        <w:drawing>
          <wp:inline distT="0" distB="0" distL="0" distR="0" wp14:anchorId="3FFA7A92" wp14:editId="073CFD72">
            <wp:extent cx="6632369" cy="3408045"/>
            <wp:effectExtent l="0" t="0" r="0" b="190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13895" w:rsidRPr="006973B5" w:rsidRDefault="00F13895">
      <w:pPr>
        <w:rPr>
          <w:rFonts w:ascii="Times New Roman" w:hAnsi="Times New Roman" w:cs="Times New Roman"/>
          <w:b/>
          <w:bCs/>
          <w:iCs/>
          <w:sz w:val="20"/>
          <w:szCs w:val="20"/>
        </w:rPr>
      </w:pPr>
    </w:p>
    <w:p w:rsidR="005C096D" w:rsidRPr="006973B5" w:rsidRDefault="005C096D">
      <w:pPr>
        <w:rPr>
          <w:rFonts w:ascii="Times New Roman" w:hAnsi="Times New Roman" w:cs="Times New Roman"/>
          <w:b/>
          <w:bCs/>
          <w:iCs/>
          <w:sz w:val="20"/>
          <w:szCs w:val="20"/>
        </w:rPr>
      </w:pPr>
    </w:p>
    <w:p w:rsidR="005C096D" w:rsidRPr="006973B5" w:rsidRDefault="005C096D">
      <w:pPr>
        <w:rPr>
          <w:rFonts w:ascii="Times New Roman" w:hAnsi="Times New Roman" w:cs="Times New Roman"/>
          <w:b/>
          <w:bCs/>
          <w:iCs/>
          <w:sz w:val="20"/>
          <w:szCs w:val="20"/>
        </w:rPr>
      </w:pPr>
    </w:p>
    <w:p w:rsidR="005C096D" w:rsidRPr="006973B5" w:rsidRDefault="005C096D" w:rsidP="005C096D">
      <w:pPr>
        <w:jc w:val="both"/>
        <w:rPr>
          <w:rFonts w:ascii="Times New Roman" w:hAnsi="Times New Roman" w:cs="Times New Roman"/>
          <w:bCs/>
          <w:iCs/>
          <w:sz w:val="24"/>
          <w:szCs w:val="20"/>
        </w:rPr>
      </w:pPr>
      <w:r w:rsidRPr="006973B5">
        <w:rPr>
          <w:rFonts w:ascii="Times New Roman" w:hAnsi="Times New Roman" w:cs="Times New Roman"/>
          <w:bCs/>
          <w:iCs/>
          <w:sz w:val="24"/>
          <w:szCs w:val="20"/>
        </w:rPr>
        <w:t>Ils s’urbanisent à des niveaux de revenus nettement inférieurs à ceux observés en Asie de l’Est et en Amérique latine, tout en enregistrant un recul des activités manufacturières et un faible niveau d’investissement dans les infrastructures. En Afrique, l’exode rural s’explique non pas par l’industrialisation, mais par la faiblesse du revenu tiré de la terre : les pauvres migrent vers les villes dans l’espoir de trouver un emploi dans les secteurs des services à faibles qualifications, axés sur les besoins d’une minorité riche. Ces dernières années on assiste au Mali a une ruée des jeunes vers les zones aurifères</w:t>
      </w:r>
    </w:p>
    <w:p w:rsidR="005C096D" w:rsidRDefault="005C096D" w:rsidP="005C096D">
      <w:pPr>
        <w:jc w:val="both"/>
        <w:rPr>
          <w:rFonts w:ascii="Times New Roman" w:hAnsi="Times New Roman" w:cs="Times New Roman"/>
          <w:bCs/>
          <w:iCs/>
          <w:sz w:val="24"/>
          <w:szCs w:val="20"/>
        </w:rPr>
      </w:pPr>
      <w:r w:rsidRPr="006973B5">
        <w:rPr>
          <w:rFonts w:ascii="Times New Roman" w:hAnsi="Times New Roman" w:cs="Times New Roman"/>
          <w:bCs/>
          <w:iCs/>
          <w:sz w:val="24"/>
          <w:szCs w:val="20"/>
        </w:rPr>
        <w:t>Les données analysées dans ce rapport proviennent du troisième passage de l’EMOP qui est réalisé du 1</w:t>
      </w:r>
      <w:r w:rsidRPr="006973B5">
        <w:rPr>
          <w:rFonts w:ascii="Times New Roman" w:hAnsi="Times New Roman" w:cs="Times New Roman"/>
          <w:bCs/>
          <w:iCs/>
          <w:sz w:val="24"/>
          <w:szCs w:val="20"/>
          <w:vertAlign w:val="superscript"/>
        </w:rPr>
        <w:t xml:space="preserve">er </w:t>
      </w:r>
      <w:r w:rsidRPr="006973B5">
        <w:rPr>
          <w:rFonts w:ascii="Times New Roman" w:hAnsi="Times New Roman" w:cs="Times New Roman"/>
          <w:bCs/>
          <w:iCs/>
          <w:sz w:val="24"/>
          <w:szCs w:val="20"/>
        </w:rPr>
        <w:t xml:space="preserve">octobre de 31 décembre. Cette période correspond généralement aux activités liées à la récolte. Ceci pourrait augmenter le taux d’emploi des personnes résident en milieu rural. </w:t>
      </w:r>
    </w:p>
    <w:p w:rsidR="0007435E" w:rsidRPr="006973B5" w:rsidRDefault="0007435E" w:rsidP="005C096D">
      <w:pPr>
        <w:jc w:val="both"/>
        <w:rPr>
          <w:rFonts w:ascii="Times New Roman" w:hAnsi="Times New Roman" w:cs="Times New Roman"/>
          <w:bCs/>
          <w:iCs/>
          <w:sz w:val="24"/>
          <w:szCs w:val="20"/>
        </w:rPr>
      </w:pPr>
    </w:p>
    <w:p w:rsidR="00A07CD6" w:rsidRPr="006973B5" w:rsidRDefault="00A07CD6" w:rsidP="00937EDF">
      <w:pPr>
        <w:pStyle w:val="Titre2"/>
        <w:numPr>
          <w:ilvl w:val="1"/>
          <w:numId w:val="14"/>
        </w:numPr>
        <w:rPr>
          <w:rFonts w:ascii="Times New Roman" w:hAnsi="Times New Roman" w:cs="Times New Roman"/>
          <w:b/>
          <w:color w:val="auto"/>
          <w:sz w:val="28"/>
        </w:rPr>
      </w:pPr>
      <w:bookmarkStart w:id="18" w:name="_Toc516676413"/>
      <w:r w:rsidRPr="006973B5">
        <w:rPr>
          <w:rFonts w:ascii="Times New Roman" w:hAnsi="Times New Roman" w:cs="Times New Roman"/>
          <w:b/>
          <w:color w:val="auto"/>
          <w:sz w:val="28"/>
        </w:rPr>
        <w:t>Evolution selon la région</w:t>
      </w:r>
      <w:bookmarkEnd w:id="18"/>
    </w:p>
    <w:p w:rsidR="00AA08E6" w:rsidRPr="006973B5" w:rsidRDefault="00AA08E6" w:rsidP="00991459">
      <w:pPr>
        <w:jc w:val="both"/>
        <w:rPr>
          <w:rFonts w:ascii="Times New Roman" w:hAnsi="Times New Roman" w:cs="Times New Roman"/>
          <w:bCs/>
          <w:iCs/>
          <w:sz w:val="24"/>
          <w:szCs w:val="20"/>
        </w:rPr>
      </w:pPr>
    </w:p>
    <w:p w:rsidR="009C5B2C" w:rsidRPr="006973B5" w:rsidRDefault="00E85A3B" w:rsidP="00991459">
      <w:pPr>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A ce </w:t>
      </w:r>
      <w:r w:rsidR="00991459" w:rsidRPr="006973B5">
        <w:rPr>
          <w:rFonts w:ascii="Times New Roman" w:hAnsi="Times New Roman" w:cs="Times New Roman"/>
          <w:bCs/>
          <w:iCs/>
          <w:sz w:val="24"/>
          <w:szCs w:val="20"/>
        </w:rPr>
        <w:t xml:space="preserve">niveau, nous analysons l’évolution du taux d’emploi et du taux de chômage par région. En effet le tableau 2 fait ressort un taux d’emploi faible </w:t>
      </w:r>
      <w:r w:rsidR="009C5B2C" w:rsidRPr="006973B5">
        <w:rPr>
          <w:rFonts w:ascii="Times New Roman" w:hAnsi="Times New Roman" w:cs="Times New Roman"/>
          <w:bCs/>
          <w:iCs/>
          <w:sz w:val="24"/>
          <w:szCs w:val="20"/>
        </w:rPr>
        <w:t xml:space="preserve">(en dessous du niveau moyen) </w:t>
      </w:r>
      <w:r w:rsidR="00991459" w:rsidRPr="006973B5">
        <w:rPr>
          <w:rFonts w:ascii="Times New Roman" w:hAnsi="Times New Roman" w:cs="Times New Roman"/>
          <w:bCs/>
          <w:iCs/>
          <w:sz w:val="24"/>
          <w:szCs w:val="20"/>
        </w:rPr>
        <w:t xml:space="preserve">dans quatre </w:t>
      </w:r>
      <w:r w:rsidR="00AD3E3E" w:rsidRPr="006973B5">
        <w:rPr>
          <w:rFonts w:ascii="Times New Roman" w:hAnsi="Times New Roman" w:cs="Times New Roman"/>
          <w:bCs/>
          <w:iCs/>
          <w:sz w:val="24"/>
          <w:szCs w:val="20"/>
        </w:rPr>
        <w:t>régions</w:t>
      </w:r>
      <w:r w:rsidR="00991459" w:rsidRPr="006973B5">
        <w:rPr>
          <w:rFonts w:ascii="Times New Roman" w:hAnsi="Times New Roman" w:cs="Times New Roman"/>
          <w:bCs/>
          <w:iCs/>
          <w:sz w:val="24"/>
          <w:szCs w:val="20"/>
        </w:rPr>
        <w:t xml:space="preserve"> du Mali, Bamako et Koulikoro au sud du pays et Tombouctou et Gao au nord. La région Kidal n’a pas été concernée par l’enquête depuis 2013 à cause de l’insécurité qui sévit dans région.  </w:t>
      </w:r>
    </w:p>
    <w:p w:rsidR="002277BD" w:rsidRPr="006973B5" w:rsidRDefault="009C5B2C" w:rsidP="00991459">
      <w:pPr>
        <w:jc w:val="both"/>
        <w:rPr>
          <w:rFonts w:ascii="Times New Roman" w:hAnsi="Times New Roman" w:cs="Times New Roman"/>
          <w:bCs/>
          <w:iCs/>
          <w:sz w:val="24"/>
          <w:szCs w:val="20"/>
        </w:rPr>
      </w:pPr>
      <w:r w:rsidRPr="006973B5">
        <w:rPr>
          <w:rFonts w:ascii="Times New Roman" w:hAnsi="Times New Roman" w:cs="Times New Roman"/>
          <w:bCs/>
          <w:iCs/>
          <w:sz w:val="24"/>
          <w:szCs w:val="20"/>
        </w:rPr>
        <w:t>Si la région de Tombouctou a connu une amélioration du taux d’emploi au cours des deux dernières années (2</w:t>
      </w:r>
      <w:r w:rsidR="002277BD" w:rsidRPr="006973B5">
        <w:rPr>
          <w:rFonts w:ascii="Times New Roman" w:hAnsi="Times New Roman" w:cs="Times New Roman"/>
          <w:bCs/>
          <w:iCs/>
          <w:sz w:val="24"/>
          <w:szCs w:val="20"/>
        </w:rPr>
        <w:t>016 et 2017) les autres régions (Koulikoro, Gao et Bamako) connaissent depuis quatre un taux faible d’emploi persistant. La région de Gao est la celle qui a connu le plus faible taux d’emploi de 2014 à 2017.</w:t>
      </w:r>
    </w:p>
    <w:p w:rsidR="00211B05" w:rsidRPr="006973B5" w:rsidRDefault="00211B05" w:rsidP="00211B05">
      <w:pPr>
        <w:pStyle w:val="Lgende"/>
        <w:spacing w:after="0"/>
        <w:jc w:val="both"/>
        <w:rPr>
          <w:color w:val="auto"/>
          <w:sz w:val="20"/>
        </w:rPr>
      </w:pPr>
      <w:bookmarkStart w:id="19" w:name="_Toc516676454"/>
      <w:r w:rsidRPr="006973B5">
        <w:rPr>
          <w:color w:val="auto"/>
          <w:sz w:val="20"/>
        </w:rPr>
        <w:t xml:space="preserve">Tableau </w:t>
      </w:r>
      <w:r w:rsidRPr="006973B5">
        <w:rPr>
          <w:color w:val="auto"/>
          <w:sz w:val="20"/>
        </w:rPr>
        <w:fldChar w:fldCharType="begin"/>
      </w:r>
      <w:r w:rsidRPr="006973B5">
        <w:rPr>
          <w:color w:val="auto"/>
          <w:sz w:val="20"/>
        </w:rPr>
        <w:instrText xml:space="preserve"> SEQ Tableau \* ARABIC </w:instrText>
      </w:r>
      <w:r w:rsidRPr="006973B5">
        <w:rPr>
          <w:color w:val="auto"/>
          <w:sz w:val="20"/>
        </w:rPr>
        <w:fldChar w:fldCharType="separate"/>
      </w:r>
      <w:r w:rsidRPr="006973B5">
        <w:rPr>
          <w:noProof/>
          <w:color w:val="auto"/>
          <w:sz w:val="20"/>
        </w:rPr>
        <w:t>2</w:t>
      </w:r>
      <w:r w:rsidRPr="006973B5">
        <w:rPr>
          <w:color w:val="auto"/>
          <w:sz w:val="20"/>
        </w:rPr>
        <w:fldChar w:fldCharType="end"/>
      </w:r>
      <w:r w:rsidRPr="006973B5">
        <w:rPr>
          <w:color w:val="auto"/>
          <w:sz w:val="20"/>
        </w:rPr>
        <w:t>. Évolution du taux d’emploi (en%) de 2013 à 2017 par région</w:t>
      </w:r>
      <w:bookmarkEnd w:id="19"/>
    </w:p>
    <w:tbl>
      <w:tblPr>
        <w:tblW w:w="9549" w:type="dxa"/>
        <w:tblCellMar>
          <w:left w:w="70" w:type="dxa"/>
          <w:right w:w="70" w:type="dxa"/>
        </w:tblCellMar>
        <w:tblLook w:val="04A0" w:firstRow="1" w:lastRow="0" w:firstColumn="1" w:lastColumn="0" w:noHBand="0" w:noVBand="1"/>
      </w:tblPr>
      <w:tblGrid>
        <w:gridCol w:w="3095"/>
        <w:gridCol w:w="1350"/>
        <w:gridCol w:w="1320"/>
        <w:gridCol w:w="1260"/>
        <w:gridCol w:w="1290"/>
        <w:gridCol w:w="1234"/>
      </w:tblGrid>
      <w:tr w:rsidR="00E85A3B" w:rsidRPr="006973B5" w:rsidTr="003E441C">
        <w:trPr>
          <w:trHeight w:val="259"/>
        </w:trPr>
        <w:tc>
          <w:tcPr>
            <w:tcW w:w="3095" w:type="dxa"/>
            <w:tcBorders>
              <w:top w:val="single" w:sz="12" w:space="0" w:color="538135" w:themeColor="accent6" w:themeShade="BF"/>
              <w:bottom w:val="single" w:sz="12" w:space="0" w:color="538135" w:themeColor="accent6" w:themeShade="BF"/>
            </w:tcBorders>
            <w:shd w:val="clear" w:color="auto" w:fill="auto"/>
            <w:noWrap/>
            <w:vAlign w:val="bottom"/>
            <w:hideMark/>
          </w:tcPr>
          <w:p w:rsidR="00E85A3B" w:rsidRPr="006973B5" w:rsidRDefault="00E85A3B" w:rsidP="00E85A3B">
            <w:pPr>
              <w:spacing w:after="0" w:line="240" w:lineRule="auto"/>
              <w:rPr>
                <w:rFonts w:ascii="Times New Roman" w:eastAsia="Times New Roman" w:hAnsi="Times New Roman" w:cs="Times New Roman"/>
                <w:color w:val="000000"/>
                <w:lang w:eastAsia="fr-FR"/>
              </w:rPr>
            </w:pPr>
            <w:r w:rsidRPr="006973B5">
              <w:rPr>
                <w:rFonts w:ascii="Times New Roman" w:eastAsia="Times New Roman" w:hAnsi="Times New Roman" w:cs="Times New Roman"/>
                <w:color w:val="000000"/>
                <w:lang w:eastAsia="fr-FR"/>
              </w:rPr>
              <w:t>Région </w:t>
            </w:r>
          </w:p>
        </w:tc>
        <w:tc>
          <w:tcPr>
            <w:tcW w:w="1350" w:type="dxa"/>
            <w:tcBorders>
              <w:top w:val="single" w:sz="12" w:space="0" w:color="538135" w:themeColor="accent6" w:themeShade="BF"/>
              <w:bottom w:val="single" w:sz="12" w:space="0" w:color="538135" w:themeColor="accent6" w:themeShade="BF"/>
            </w:tcBorders>
            <w:shd w:val="clear" w:color="auto" w:fill="auto"/>
            <w:noWrap/>
            <w:vAlign w:val="bottom"/>
            <w:hideMark/>
          </w:tcPr>
          <w:p w:rsidR="00E85A3B" w:rsidRPr="006973B5" w:rsidRDefault="00E85A3B" w:rsidP="00E85A3B">
            <w:pPr>
              <w:spacing w:after="0" w:line="240" w:lineRule="auto"/>
              <w:jc w:val="right"/>
              <w:rPr>
                <w:rFonts w:ascii="Times New Roman" w:eastAsia="Times New Roman" w:hAnsi="Times New Roman" w:cs="Times New Roman"/>
                <w:b/>
                <w:bCs/>
                <w:color w:val="000000"/>
                <w:lang w:eastAsia="fr-FR"/>
              </w:rPr>
            </w:pPr>
            <w:r w:rsidRPr="006973B5">
              <w:rPr>
                <w:rFonts w:ascii="Times New Roman" w:eastAsia="Times New Roman" w:hAnsi="Times New Roman" w:cs="Times New Roman"/>
                <w:b/>
                <w:bCs/>
                <w:color w:val="000000"/>
                <w:lang w:eastAsia="fr-FR"/>
              </w:rPr>
              <w:t>2013</w:t>
            </w:r>
          </w:p>
        </w:tc>
        <w:tc>
          <w:tcPr>
            <w:tcW w:w="1320" w:type="dxa"/>
            <w:tcBorders>
              <w:top w:val="single" w:sz="12" w:space="0" w:color="538135" w:themeColor="accent6" w:themeShade="BF"/>
              <w:bottom w:val="single" w:sz="12" w:space="0" w:color="538135" w:themeColor="accent6" w:themeShade="BF"/>
            </w:tcBorders>
            <w:shd w:val="clear" w:color="auto" w:fill="auto"/>
            <w:noWrap/>
            <w:vAlign w:val="bottom"/>
            <w:hideMark/>
          </w:tcPr>
          <w:p w:rsidR="00E85A3B" w:rsidRPr="006973B5" w:rsidRDefault="00E85A3B" w:rsidP="00E85A3B">
            <w:pPr>
              <w:spacing w:after="0" w:line="240" w:lineRule="auto"/>
              <w:jc w:val="right"/>
              <w:rPr>
                <w:rFonts w:ascii="Times New Roman" w:eastAsia="Times New Roman" w:hAnsi="Times New Roman" w:cs="Times New Roman"/>
                <w:b/>
                <w:bCs/>
                <w:color w:val="000000"/>
                <w:lang w:eastAsia="fr-FR"/>
              </w:rPr>
            </w:pPr>
            <w:r w:rsidRPr="006973B5">
              <w:rPr>
                <w:rFonts w:ascii="Times New Roman" w:eastAsia="Times New Roman" w:hAnsi="Times New Roman" w:cs="Times New Roman"/>
                <w:b/>
                <w:bCs/>
                <w:color w:val="000000"/>
                <w:lang w:eastAsia="fr-FR"/>
              </w:rPr>
              <w:t>2014</w:t>
            </w:r>
          </w:p>
        </w:tc>
        <w:tc>
          <w:tcPr>
            <w:tcW w:w="1260" w:type="dxa"/>
            <w:tcBorders>
              <w:top w:val="single" w:sz="12" w:space="0" w:color="538135" w:themeColor="accent6" w:themeShade="BF"/>
              <w:bottom w:val="single" w:sz="12" w:space="0" w:color="538135" w:themeColor="accent6" w:themeShade="BF"/>
            </w:tcBorders>
            <w:shd w:val="clear" w:color="auto" w:fill="auto"/>
            <w:noWrap/>
            <w:vAlign w:val="bottom"/>
            <w:hideMark/>
          </w:tcPr>
          <w:p w:rsidR="00E85A3B" w:rsidRPr="006973B5" w:rsidRDefault="00E85A3B" w:rsidP="00E85A3B">
            <w:pPr>
              <w:spacing w:after="0" w:line="240" w:lineRule="auto"/>
              <w:jc w:val="right"/>
              <w:rPr>
                <w:rFonts w:ascii="Times New Roman" w:eastAsia="Times New Roman" w:hAnsi="Times New Roman" w:cs="Times New Roman"/>
                <w:b/>
                <w:bCs/>
                <w:color w:val="000000"/>
                <w:lang w:eastAsia="fr-FR"/>
              </w:rPr>
            </w:pPr>
            <w:r w:rsidRPr="006973B5">
              <w:rPr>
                <w:rFonts w:ascii="Times New Roman" w:eastAsia="Times New Roman" w:hAnsi="Times New Roman" w:cs="Times New Roman"/>
                <w:b/>
                <w:bCs/>
                <w:color w:val="000000"/>
                <w:lang w:eastAsia="fr-FR"/>
              </w:rPr>
              <w:t>2015</w:t>
            </w:r>
          </w:p>
        </w:tc>
        <w:tc>
          <w:tcPr>
            <w:tcW w:w="1290" w:type="dxa"/>
            <w:tcBorders>
              <w:top w:val="single" w:sz="12" w:space="0" w:color="538135" w:themeColor="accent6" w:themeShade="BF"/>
              <w:bottom w:val="single" w:sz="12" w:space="0" w:color="538135" w:themeColor="accent6" w:themeShade="BF"/>
            </w:tcBorders>
            <w:shd w:val="clear" w:color="auto" w:fill="auto"/>
            <w:noWrap/>
            <w:vAlign w:val="bottom"/>
            <w:hideMark/>
          </w:tcPr>
          <w:p w:rsidR="00E85A3B" w:rsidRPr="006973B5" w:rsidRDefault="00E85A3B" w:rsidP="00E85A3B">
            <w:pPr>
              <w:spacing w:after="0" w:line="240" w:lineRule="auto"/>
              <w:jc w:val="right"/>
              <w:rPr>
                <w:rFonts w:ascii="Times New Roman" w:eastAsia="Times New Roman" w:hAnsi="Times New Roman" w:cs="Times New Roman"/>
                <w:b/>
                <w:bCs/>
                <w:color w:val="000000"/>
                <w:lang w:eastAsia="fr-FR"/>
              </w:rPr>
            </w:pPr>
            <w:r w:rsidRPr="006973B5">
              <w:rPr>
                <w:rFonts w:ascii="Times New Roman" w:eastAsia="Times New Roman" w:hAnsi="Times New Roman" w:cs="Times New Roman"/>
                <w:b/>
                <w:bCs/>
                <w:color w:val="000000"/>
                <w:lang w:eastAsia="fr-FR"/>
              </w:rPr>
              <w:t>2016</w:t>
            </w:r>
          </w:p>
        </w:tc>
        <w:tc>
          <w:tcPr>
            <w:tcW w:w="1234" w:type="dxa"/>
            <w:tcBorders>
              <w:top w:val="single" w:sz="12" w:space="0" w:color="538135" w:themeColor="accent6" w:themeShade="BF"/>
              <w:bottom w:val="single" w:sz="12" w:space="0" w:color="538135" w:themeColor="accent6" w:themeShade="BF"/>
            </w:tcBorders>
            <w:shd w:val="clear" w:color="auto" w:fill="auto"/>
            <w:noWrap/>
            <w:vAlign w:val="bottom"/>
            <w:hideMark/>
          </w:tcPr>
          <w:p w:rsidR="00E85A3B" w:rsidRPr="006973B5" w:rsidRDefault="00E85A3B" w:rsidP="00E85A3B">
            <w:pPr>
              <w:spacing w:after="0" w:line="240" w:lineRule="auto"/>
              <w:jc w:val="right"/>
              <w:rPr>
                <w:rFonts w:ascii="Times New Roman" w:eastAsia="Times New Roman" w:hAnsi="Times New Roman" w:cs="Times New Roman"/>
                <w:b/>
                <w:bCs/>
                <w:color w:val="000000"/>
                <w:lang w:eastAsia="fr-FR"/>
              </w:rPr>
            </w:pPr>
            <w:r w:rsidRPr="006973B5">
              <w:rPr>
                <w:rFonts w:ascii="Times New Roman" w:eastAsia="Times New Roman" w:hAnsi="Times New Roman" w:cs="Times New Roman"/>
                <w:b/>
                <w:bCs/>
                <w:color w:val="000000"/>
                <w:lang w:eastAsia="fr-FR"/>
              </w:rPr>
              <w:t>2017</w:t>
            </w:r>
          </w:p>
        </w:tc>
      </w:tr>
      <w:tr w:rsidR="00E85A3B" w:rsidRPr="006973B5" w:rsidTr="003E441C">
        <w:trPr>
          <w:trHeight w:val="246"/>
        </w:trPr>
        <w:tc>
          <w:tcPr>
            <w:tcW w:w="3095" w:type="dxa"/>
            <w:tcBorders>
              <w:top w:val="single" w:sz="12" w:space="0" w:color="538135" w:themeColor="accent6" w:themeShade="BF"/>
            </w:tcBorders>
            <w:shd w:val="clear" w:color="auto" w:fill="auto"/>
            <w:vAlign w:val="center"/>
            <w:hideMark/>
          </w:tcPr>
          <w:p w:rsidR="00E85A3B" w:rsidRPr="006973B5" w:rsidRDefault="00E85A3B" w:rsidP="00E85A3B">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Kayes</w:t>
            </w:r>
          </w:p>
        </w:tc>
        <w:tc>
          <w:tcPr>
            <w:tcW w:w="1350" w:type="dxa"/>
            <w:tcBorders>
              <w:top w:val="single" w:sz="12" w:space="0" w:color="538135" w:themeColor="accent6" w:themeShade="BF"/>
            </w:tcBorders>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69,5</w:t>
            </w:r>
          </w:p>
        </w:tc>
        <w:tc>
          <w:tcPr>
            <w:tcW w:w="1320" w:type="dxa"/>
            <w:tcBorders>
              <w:top w:val="single" w:sz="12" w:space="0" w:color="538135" w:themeColor="accent6" w:themeShade="BF"/>
            </w:tcBorders>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59,7</w:t>
            </w:r>
          </w:p>
        </w:tc>
        <w:tc>
          <w:tcPr>
            <w:tcW w:w="1260" w:type="dxa"/>
            <w:tcBorders>
              <w:top w:val="single" w:sz="12" w:space="0" w:color="538135" w:themeColor="accent6" w:themeShade="BF"/>
            </w:tcBorders>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75,4</w:t>
            </w:r>
          </w:p>
        </w:tc>
        <w:tc>
          <w:tcPr>
            <w:tcW w:w="1290" w:type="dxa"/>
            <w:tcBorders>
              <w:top w:val="single" w:sz="12" w:space="0" w:color="538135" w:themeColor="accent6" w:themeShade="BF"/>
            </w:tcBorders>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50,5</w:t>
            </w:r>
          </w:p>
        </w:tc>
        <w:tc>
          <w:tcPr>
            <w:tcW w:w="1234" w:type="dxa"/>
            <w:tcBorders>
              <w:top w:val="single" w:sz="12" w:space="0" w:color="538135" w:themeColor="accent6" w:themeShade="BF"/>
            </w:tcBorders>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70,9</w:t>
            </w:r>
          </w:p>
        </w:tc>
      </w:tr>
      <w:tr w:rsidR="00E85A3B" w:rsidRPr="006973B5" w:rsidTr="003E441C">
        <w:trPr>
          <w:trHeight w:val="246"/>
        </w:trPr>
        <w:tc>
          <w:tcPr>
            <w:tcW w:w="3095" w:type="dxa"/>
            <w:shd w:val="clear" w:color="auto" w:fill="auto"/>
            <w:vAlign w:val="center"/>
            <w:hideMark/>
          </w:tcPr>
          <w:p w:rsidR="00E85A3B" w:rsidRPr="006973B5" w:rsidRDefault="00E85A3B" w:rsidP="00E85A3B">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Koulikoro</w:t>
            </w:r>
          </w:p>
        </w:tc>
        <w:tc>
          <w:tcPr>
            <w:tcW w:w="135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66,2</w:t>
            </w:r>
          </w:p>
        </w:tc>
        <w:tc>
          <w:tcPr>
            <w:tcW w:w="132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45,9</w:t>
            </w:r>
          </w:p>
        </w:tc>
        <w:tc>
          <w:tcPr>
            <w:tcW w:w="126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18,5</w:t>
            </w:r>
          </w:p>
        </w:tc>
        <w:tc>
          <w:tcPr>
            <w:tcW w:w="129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18,4</w:t>
            </w:r>
          </w:p>
        </w:tc>
        <w:tc>
          <w:tcPr>
            <w:tcW w:w="1234"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19,6</w:t>
            </w:r>
          </w:p>
        </w:tc>
      </w:tr>
      <w:tr w:rsidR="00E85A3B" w:rsidRPr="006973B5" w:rsidTr="003E441C">
        <w:trPr>
          <w:trHeight w:val="246"/>
        </w:trPr>
        <w:tc>
          <w:tcPr>
            <w:tcW w:w="3095" w:type="dxa"/>
            <w:shd w:val="clear" w:color="auto" w:fill="auto"/>
            <w:vAlign w:val="center"/>
            <w:hideMark/>
          </w:tcPr>
          <w:p w:rsidR="00E85A3B" w:rsidRPr="006973B5" w:rsidRDefault="00E85A3B" w:rsidP="00E85A3B">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Sikasso</w:t>
            </w:r>
          </w:p>
        </w:tc>
        <w:tc>
          <w:tcPr>
            <w:tcW w:w="135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64,3</w:t>
            </w:r>
          </w:p>
        </w:tc>
        <w:tc>
          <w:tcPr>
            <w:tcW w:w="132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65,4</w:t>
            </w:r>
          </w:p>
        </w:tc>
        <w:tc>
          <w:tcPr>
            <w:tcW w:w="126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64,7</w:t>
            </w:r>
          </w:p>
        </w:tc>
        <w:tc>
          <w:tcPr>
            <w:tcW w:w="129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62,6</w:t>
            </w:r>
          </w:p>
        </w:tc>
        <w:tc>
          <w:tcPr>
            <w:tcW w:w="1234"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67,6</w:t>
            </w:r>
          </w:p>
        </w:tc>
      </w:tr>
      <w:tr w:rsidR="00E85A3B" w:rsidRPr="006973B5" w:rsidTr="003E441C">
        <w:trPr>
          <w:trHeight w:val="246"/>
        </w:trPr>
        <w:tc>
          <w:tcPr>
            <w:tcW w:w="3095" w:type="dxa"/>
            <w:shd w:val="clear" w:color="auto" w:fill="auto"/>
            <w:vAlign w:val="center"/>
            <w:hideMark/>
          </w:tcPr>
          <w:p w:rsidR="00E85A3B" w:rsidRPr="006973B5" w:rsidRDefault="00E85A3B" w:rsidP="00E85A3B">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Ségou</w:t>
            </w:r>
          </w:p>
        </w:tc>
        <w:tc>
          <w:tcPr>
            <w:tcW w:w="135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69,9</w:t>
            </w:r>
          </w:p>
        </w:tc>
        <w:tc>
          <w:tcPr>
            <w:tcW w:w="132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69,7</w:t>
            </w:r>
          </w:p>
        </w:tc>
        <w:tc>
          <w:tcPr>
            <w:tcW w:w="126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67,9</w:t>
            </w:r>
          </w:p>
        </w:tc>
        <w:tc>
          <w:tcPr>
            <w:tcW w:w="129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55,0</w:t>
            </w:r>
          </w:p>
        </w:tc>
        <w:tc>
          <w:tcPr>
            <w:tcW w:w="1234"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57,5</w:t>
            </w:r>
          </w:p>
        </w:tc>
      </w:tr>
      <w:tr w:rsidR="00E85A3B" w:rsidRPr="006973B5" w:rsidTr="003E441C">
        <w:trPr>
          <w:trHeight w:val="246"/>
        </w:trPr>
        <w:tc>
          <w:tcPr>
            <w:tcW w:w="3095" w:type="dxa"/>
            <w:shd w:val="clear" w:color="auto" w:fill="auto"/>
            <w:vAlign w:val="center"/>
            <w:hideMark/>
          </w:tcPr>
          <w:p w:rsidR="00E85A3B" w:rsidRPr="006973B5" w:rsidRDefault="00E85A3B" w:rsidP="00E85A3B">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Mopti</w:t>
            </w:r>
          </w:p>
        </w:tc>
        <w:tc>
          <w:tcPr>
            <w:tcW w:w="135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78,4</w:t>
            </w:r>
          </w:p>
        </w:tc>
        <w:tc>
          <w:tcPr>
            <w:tcW w:w="132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70,7</w:t>
            </w:r>
          </w:p>
        </w:tc>
        <w:tc>
          <w:tcPr>
            <w:tcW w:w="126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48,2</w:t>
            </w:r>
          </w:p>
        </w:tc>
        <w:tc>
          <w:tcPr>
            <w:tcW w:w="129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53,4</w:t>
            </w:r>
          </w:p>
        </w:tc>
        <w:tc>
          <w:tcPr>
            <w:tcW w:w="1234"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56,7</w:t>
            </w:r>
          </w:p>
        </w:tc>
      </w:tr>
      <w:tr w:rsidR="00E85A3B" w:rsidRPr="006973B5" w:rsidTr="003E441C">
        <w:trPr>
          <w:trHeight w:val="246"/>
        </w:trPr>
        <w:tc>
          <w:tcPr>
            <w:tcW w:w="3095" w:type="dxa"/>
            <w:shd w:val="clear" w:color="auto" w:fill="auto"/>
            <w:vAlign w:val="center"/>
            <w:hideMark/>
          </w:tcPr>
          <w:p w:rsidR="00E85A3B" w:rsidRPr="006973B5" w:rsidRDefault="00E85A3B" w:rsidP="00E85A3B">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Tombouctou</w:t>
            </w:r>
          </w:p>
        </w:tc>
        <w:tc>
          <w:tcPr>
            <w:tcW w:w="135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 </w:t>
            </w:r>
          </w:p>
        </w:tc>
        <w:tc>
          <w:tcPr>
            <w:tcW w:w="132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46,9</w:t>
            </w:r>
          </w:p>
        </w:tc>
        <w:tc>
          <w:tcPr>
            <w:tcW w:w="126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47,6</w:t>
            </w:r>
          </w:p>
        </w:tc>
        <w:tc>
          <w:tcPr>
            <w:tcW w:w="129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52,7</w:t>
            </w:r>
          </w:p>
        </w:tc>
        <w:tc>
          <w:tcPr>
            <w:tcW w:w="1234"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49,1</w:t>
            </w:r>
          </w:p>
        </w:tc>
      </w:tr>
      <w:tr w:rsidR="00E85A3B" w:rsidRPr="006973B5" w:rsidTr="003E441C">
        <w:trPr>
          <w:trHeight w:val="246"/>
        </w:trPr>
        <w:tc>
          <w:tcPr>
            <w:tcW w:w="3095" w:type="dxa"/>
            <w:shd w:val="clear" w:color="auto" w:fill="auto"/>
            <w:vAlign w:val="center"/>
            <w:hideMark/>
          </w:tcPr>
          <w:p w:rsidR="00E85A3B" w:rsidRPr="006973B5" w:rsidRDefault="00E85A3B" w:rsidP="00E85A3B">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Gao</w:t>
            </w:r>
          </w:p>
        </w:tc>
        <w:tc>
          <w:tcPr>
            <w:tcW w:w="135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 </w:t>
            </w:r>
          </w:p>
        </w:tc>
        <w:tc>
          <w:tcPr>
            <w:tcW w:w="132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25,4</w:t>
            </w:r>
          </w:p>
        </w:tc>
        <w:tc>
          <w:tcPr>
            <w:tcW w:w="126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17,4</w:t>
            </w:r>
          </w:p>
        </w:tc>
        <w:tc>
          <w:tcPr>
            <w:tcW w:w="1290"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10,4</w:t>
            </w:r>
          </w:p>
        </w:tc>
        <w:tc>
          <w:tcPr>
            <w:tcW w:w="1234" w:type="dxa"/>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9,5</w:t>
            </w:r>
          </w:p>
        </w:tc>
      </w:tr>
      <w:tr w:rsidR="00E85A3B" w:rsidRPr="006973B5" w:rsidTr="003E441C">
        <w:trPr>
          <w:trHeight w:val="246"/>
        </w:trPr>
        <w:tc>
          <w:tcPr>
            <w:tcW w:w="3095" w:type="dxa"/>
            <w:tcBorders>
              <w:bottom w:val="single" w:sz="12" w:space="0" w:color="538135" w:themeColor="accent6" w:themeShade="BF"/>
            </w:tcBorders>
            <w:shd w:val="clear" w:color="auto" w:fill="auto"/>
            <w:vAlign w:val="center"/>
            <w:hideMark/>
          </w:tcPr>
          <w:p w:rsidR="00E85A3B" w:rsidRPr="006973B5" w:rsidRDefault="00E85A3B" w:rsidP="00E85A3B">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Bamako</w:t>
            </w:r>
          </w:p>
        </w:tc>
        <w:tc>
          <w:tcPr>
            <w:tcW w:w="1350" w:type="dxa"/>
            <w:tcBorders>
              <w:bottom w:val="single" w:sz="12" w:space="0" w:color="538135" w:themeColor="accent6" w:themeShade="BF"/>
            </w:tcBorders>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33,6</w:t>
            </w:r>
          </w:p>
        </w:tc>
        <w:tc>
          <w:tcPr>
            <w:tcW w:w="1320" w:type="dxa"/>
            <w:tcBorders>
              <w:bottom w:val="single" w:sz="12" w:space="0" w:color="538135" w:themeColor="accent6" w:themeShade="BF"/>
            </w:tcBorders>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30,6</w:t>
            </w:r>
          </w:p>
        </w:tc>
        <w:tc>
          <w:tcPr>
            <w:tcW w:w="1260" w:type="dxa"/>
            <w:tcBorders>
              <w:bottom w:val="single" w:sz="12" w:space="0" w:color="538135" w:themeColor="accent6" w:themeShade="BF"/>
            </w:tcBorders>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32,3</w:t>
            </w:r>
          </w:p>
        </w:tc>
        <w:tc>
          <w:tcPr>
            <w:tcW w:w="1290" w:type="dxa"/>
            <w:tcBorders>
              <w:bottom w:val="single" w:sz="12" w:space="0" w:color="538135" w:themeColor="accent6" w:themeShade="BF"/>
            </w:tcBorders>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32,8</w:t>
            </w:r>
          </w:p>
        </w:tc>
        <w:tc>
          <w:tcPr>
            <w:tcW w:w="1234" w:type="dxa"/>
            <w:tcBorders>
              <w:bottom w:val="single" w:sz="12" w:space="0" w:color="538135" w:themeColor="accent6" w:themeShade="BF"/>
            </w:tcBorders>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30,2</w:t>
            </w:r>
          </w:p>
        </w:tc>
      </w:tr>
      <w:tr w:rsidR="00E85A3B" w:rsidRPr="006973B5" w:rsidTr="003E441C">
        <w:trPr>
          <w:trHeight w:val="246"/>
        </w:trPr>
        <w:tc>
          <w:tcPr>
            <w:tcW w:w="3095" w:type="dxa"/>
            <w:tcBorders>
              <w:top w:val="single" w:sz="12" w:space="0" w:color="538135" w:themeColor="accent6" w:themeShade="BF"/>
              <w:bottom w:val="single" w:sz="12" w:space="0" w:color="538135" w:themeColor="accent6" w:themeShade="BF"/>
            </w:tcBorders>
            <w:shd w:val="clear" w:color="auto" w:fill="auto"/>
            <w:vAlign w:val="center"/>
            <w:hideMark/>
          </w:tcPr>
          <w:p w:rsidR="00E85A3B" w:rsidRPr="006973B5" w:rsidRDefault="00E85A3B" w:rsidP="00E85A3B">
            <w:pPr>
              <w:spacing w:after="0" w:line="240" w:lineRule="auto"/>
              <w:rPr>
                <w:rFonts w:ascii="Times New Roman" w:eastAsia="Times New Roman" w:hAnsi="Times New Roman" w:cs="Times New Roman"/>
                <w:b/>
                <w:color w:val="000000"/>
                <w:sz w:val="20"/>
                <w:szCs w:val="20"/>
                <w:lang w:eastAsia="fr-FR"/>
              </w:rPr>
            </w:pPr>
            <w:r w:rsidRPr="006973B5">
              <w:rPr>
                <w:rFonts w:ascii="Times New Roman" w:eastAsia="Times New Roman" w:hAnsi="Times New Roman" w:cs="Times New Roman"/>
                <w:b/>
                <w:color w:val="000000"/>
                <w:sz w:val="20"/>
                <w:szCs w:val="20"/>
                <w:lang w:eastAsia="fr-FR"/>
              </w:rPr>
              <w:t>Total</w:t>
            </w:r>
          </w:p>
        </w:tc>
        <w:tc>
          <w:tcPr>
            <w:tcW w:w="1350" w:type="dxa"/>
            <w:tcBorders>
              <w:top w:val="single" w:sz="12" w:space="0" w:color="538135" w:themeColor="accent6" w:themeShade="BF"/>
              <w:bottom w:val="single" w:sz="12" w:space="0" w:color="538135" w:themeColor="accent6" w:themeShade="BF"/>
            </w:tcBorders>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b/>
                <w:color w:val="000000"/>
                <w:sz w:val="20"/>
                <w:szCs w:val="20"/>
                <w:lang w:eastAsia="fr-FR"/>
              </w:rPr>
            </w:pPr>
            <w:r w:rsidRPr="006973B5">
              <w:rPr>
                <w:rFonts w:ascii="Times New Roman" w:eastAsia="Times New Roman" w:hAnsi="Times New Roman" w:cs="Times New Roman"/>
                <w:b/>
                <w:color w:val="000000"/>
                <w:sz w:val="20"/>
                <w:szCs w:val="20"/>
                <w:lang w:eastAsia="fr-FR"/>
              </w:rPr>
              <w:t>62,9</w:t>
            </w:r>
          </w:p>
        </w:tc>
        <w:tc>
          <w:tcPr>
            <w:tcW w:w="1320" w:type="dxa"/>
            <w:tcBorders>
              <w:top w:val="single" w:sz="12" w:space="0" w:color="538135" w:themeColor="accent6" w:themeShade="BF"/>
              <w:bottom w:val="single" w:sz="12" w:space="0" w:color="538135" w:themeColor="accent6" w:themeShade="BF"/>
            </w:tcBorders>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b/>
                <w:color w:val="000000"/>
                <w:sz w:val="20"/>
                <w:szCs w:val="20"/>
                <w:lang w:eastAsia="fr-FR"/>
              </w:rPr>
            </w:pPr>
            <w:r w:rsidRPr="006973B5">
              <w:rPr>
                <w:rFonts w:ascii="Times New Roman" w:eastAsia="Times New Roman" w:hAnsi="Times New Roman" w:cs="Times New Roman"/>
                <w:b/>
                <w:color w:val="000000"/>
                <w:sz w:val="20"/>
                <w:szCs w:val="20"/>
                <w:lang w:eastAsia="fr-FR"/>
              </w:rPr>
              <w:t>54,8</w:t>
            </w:r>
          </w:p>
        </w:tc>
        <w:tc>
          <w:tcPr>
            <w:tcW w:w="1260" w:type="dxa"/>
            <w:tcBorders>
              <w:top w:val="single" w:sz="12" w:space="0" w:color="538135" w:themeColor="accent6" w:themeShade="BF"/>
              <w:bottom w:val="single" w:sz="12" w:space="0" w:color="538135" w:themeColor="accent6" w:themeShade="BF"/>
            </w:tcBorders>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b/>
                <w:color w:val="000000"/>
                <w:sz w:val="20"/>
                <w:szCs w:val="20"/>
                <w:lang w:eastAsia="fr-FR"/>
              </w:rPr>
            </w:pPr>
            <w:r w:rsidRPr="006973B5">
              <w:rPr>
                <w:rFonts w:ascii="Times New Roman" w:eastAsia="Times New Roman" w:hAnsi="Times New Roman" w:cs="Times New Roman"/>
                <w:b/>
                <w:color w:val="000000"/>
                <w:sz w:val="20"/>
                <w:szCs w:val="20"/>
                <w:lang w:eastAsia="fr-FR"/>
              </w:rPr>
              <w:t>47,9</w:t>
            </w:r>
          </w:p>
        </w:tc>
        <w:tc>
          <w:tcPr>
            <w:tcW w:w="1290" w:type="dxa"/>
            <w:tcBorders>
              <w:top w:val="single" w:sz="12" w:space="0" w:color="538135" w:themeColor="accent6" w:themeShade="BF"/>
              <w:bottom w:val="single" w:sz="12" w:space="0" w:color="538135" w:themeColor="accent6" w:themeShade="BF"/>
            </w:tcBorders>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b/>
                <w:color w:val="000000"/>
                <w:sz w:val="20"/>
                <w:szCs w:val="20"/>
                <w:lang w:eastAsia="fr-FR"/>
              </w:rPr>
            </w:pPr>
            <w:r w:rsidRPr="006973B5">
              <w:rPr>
                <w:rFonts w:ascii="Times New Roman" w:eastAsia="Times New Roman" w:hAnsi="Times New Roman" w:cs="Times New Roman"/>
                <w:b/>
                <w:color w:val="000000"/>
                <w:sz w:val="20"/>
                <w:szCs w:val="20"/>
                <w:lang w:eastAsia="fr-FR"/>
              </w:rPr>
              <w:t>43,1</w:t>
            </w:r>
          </w:p>
        </w:tc>
        <w:tc>
          <w:tcPr>
            <w:tcW w:w="1234" w:type="dxa"/>
            <w:tcBorders>
              <w:top w:val="single" w:sz="12" w:space="0" w:color="538135" w:themeColor="accent6" w:themeShade="BF"/>
              <w:bottom w:val="single" w:sz="12" w:space="0" w:color="538135" w:themeColor="accent6" w:themeShade="BF"/>
            </w:tcBorders>
            <w:shd w:val="clear" w:color="auto" w:fill="auto"/>
            <w:noWrap/>
            <w:vAlign w:val="center"/>
            <w:hideMark/>
          </w:tcPr>
          <w:p w:rsidR="00E85A3B" w:rsidRPr="006973B5" w:rsidRDefault="00E85A3B" w:rsidP="00E85A3B">
            <w:pPr>
              <w:spacing w:after="0" w:line="240" w:lineRule="auto"/>
              <w:jc w:val="right"/>
              <w:rPr>
                <w:rFonts w:ascii="Times New Roman" w:eastAsia="Times New Roman" w:hAnsi="Times New Roman" w:cs="Times New Roman"/>
                <w:b/>
                <w:color w:val="000000"/>
                <w:sz w:val="20"/>
                <w:szCs w:val="20"/>
                <w:lang w:eastAsia="fr-FR"/>
              </w:rPr>
            </w:pPr>
            <w:r w:rsidRPr="006973B5">
              <w:rPr>
                <w:rFonts w:ascii="Times New Roman" w:eastAsia="Times New Roman" w:hAnsi="Times New Roman" w:cs="Times New Roman"/>
                <w:b/>
                <w:color w:val="000000"/>
                <w:sz w:val="20"/>
                <w:szCs w:val="20"/>
                <w:lang w:eastAsia="fr-FR"/>
              </w:rPr>
              <w:t>47,3</w:t>
            </w:r>
          </w:p>
        </w:tc>
      </w:tr>
    </w:tbl>
    <w:p w:rsidR="00E85A3B" w:rsidRPr="006973B5" w:rsidRDefault="00E85A3B" w:rsidP="00E85A3B">
      <w:pPr>
        <w:spacing w:after="0"/>
        <w:rPr>
          <w:rFonts w:ascii="Times New Roman" w:hAnsi="Times New Roman" w:cs="Times New Roman"/>
          <w:bCs/>
          <w:iCs/>
          <w:szCs w:val="20"/>
        </w:rPr>
      </w:pPr>
    </w:p>
    <w:p w:rsidR="003E441C" w:rsidRPr="006973B5" w:rsidRDefault="0027708E" w:rsidP="003E441C">
      <w:pPr>
        <w:spacing w:after="0"/>
        <w:jc w:val="both"/>
        <w:rPr>
          <w:rFonts w:ascii="Times New Roman" w:hAnsi="Times New Roman" w:cs="Times New Roman"/>
          <w:bCs/>
          <w:iCs/>
          <w:sz w:val="24"/>
          <w:szCs w:val="20"/>
        </w:rPr>
      </w:pPr>
      <w:r w:rsidRPr="006973B5">
        <w:rPr>
          <w:rFonts w:ascii="Times New Roman" w:hAnsi="Times New Roman" w:cs="Times New Roman"/>
          <w:bCs/>
          <w:iCs/>
          <w:sz w:val="24"/>
          <w:szCs w:val="20"/>
        </w:rPr>
        <w:t>La persistance du manque d’emploi dans les région</w:t>
      </w:r>
      <w:r w:rsidR="000C03E1" w:rsidRPr="006973B5">
        <w:rPr>
          <w:rFonts w:ascii="Times New Roman" w:hAnsi="Times New Roman" w:cs="Times New Roman"/>
          <w:bCs/>
          <w:iCs/>
          <w:sz w:val="24"/>
          <w:szCs w:val="20"/>
        </w:rPr>
        <w:t>s</w:t>
      </w:r>
      <w:r w:rsidRPr="006973B5">
        <w:rPr>
          <w:rFonts w:ascii="Times New Roman" w:hAnsi="Times New Roman" w:cs="Times New Roman"/>
          <w:bCs/>
          <w:iCs/>
          <w:sz w:val="24"/>
          <w:szCs w:val="20"/>
        </w:rPr>
        <w:t xml:space="preserve"> nord du pays pourrait s’expliquer par</w:t>
      </w:r>
      <w:r w:rsidR="000C03E1" w:rsidRPr="006973B5">
        <w:rPr>
          <w:rFonts w:ascii="Times New Roman" w:hAnsi="Times New Roman" w:cs="Times New Roman"/>
          <w:bCs/>
          <w:iCs/>
          <w:sz w:val="24"/>
          <w:szCs w:val="20"/>
        </w:rPr>
        <w:t xml:space="preserve"> l’insécurité </w:t>
      </w:r>
      <w:r w:rsidR="000B0D1D" w:rsidRPr="006973B5">
        <w:rPr>
          <w:rFonts w:ascii="Times New Roman" w:hAnsi="Times New Roman" w:cs="Times New Roman"/>
          <w:bCs/>
          <w:iCs/>
          <w:sz w:val="24"/>
          <w:szCs w:val="20"/>
        </w:rPr>
        <w:t>persis</w:t>
      </w:r>
      <w:r w:rsidR="00F059E1" w:rsidRPr="006973B5">
        <w:rPr>
          <w:rFonts w:ascii="Times New Roman" w:hAnsi="Times New Roman" w:cs="Times New Roman"/>
          <w:bCs/>
          <w:iCs/>
          <w:sz w:val="24"/>
          <w:szCs w:val="20"/>
        </w:rPr>
        <w:t>tante</w:t>
      </w:r>
      <w:r w:rsidR="000B0D1D" w:rsidRPr="006973B5">
        <w:rPr>
          <w:rFonts w:ascii="Times New Roman" w:hAnsi="Times New Roman" w:cs="Times New Roman"/>
          <w:bCs/>
          <w:iCs/>
          <w:sz w:val="24"/>
          <w:szCs w:val="20"/>
        </w:rPr>
        <w:t xml:space="preserve"> depuis </w:t>
      </w:r>
      <w:r w:rsidR="00F059E1" w:rsidRPr="006973B5">
        <w:rPr>
          <w:rFonts w:ascii="Times New Roman" w:hAnsi="Times New Roman" w:cs="Times New Roman"/>
          <w:bCs/>
          <w:iCs/>
          <w:sz w:val="24"/>
          <w:szCs w:val="20"/>
        </w:rPr>
        <w:t xml:space="preserve">plus </w:t>
      </w:r>
      <w:r w:rsidR="00CF6BE8" w:rsidRPr="006973B5">
        <w:rPr>
          <w:rFonts w:ascii="Times New Roman" w:hAnsi="Times New Roman" w:cs="Times New Roman"/>
          <w:bCs/>
          <w:iCs/>
          <w:sz w:val="24"/>
          <w:szCs w:val="20"/>
        </w:rPr>
        <w:t>d’une décennie</w:t>
      </w:r>
      <w:r w:rsidR="000B0D1D" w:rsidRPr="006973B5">
        <w:rPr>
          <w:rFonts w:ascii="Times New Roman" w:hAnsi="Times New Roman" w:cs="Times New Roman"/>
          <w:bCs/>
          <w:iCs/>
          <w:sz w:val="24"/>
          <w:szCs w:val="20"/>
        </w:rPr>
        <w:t>. Cette insécurité entrave le processus de développeme</w:t>
      </w:r>
      <w:r w:rsidR="003E441C" w:rsidRPr="006973B5">
        <w:rPr>
          <w:rFonts w:ascii="Times New Roman" w:hAnsi="Times New Roman" w:cs="Times New Roman"/>
          <w:bCs/>
          <w:iCs/>
          <w:sz w:val="24"/>
          <w:szCs w:val="20"/>
        </w:rPr>
        <w:t>nt économique et social et par conséquent la création d’emplois.</w:t>
      </w:r>
    </w:p>
    <w:p w:rsidR="003E441C" w:rsidRPr="006973B5" w:rsidRDefault="003E441C" w:rsidP="003E441C">
      <w:pPr>
        <w:spacing w:after="0"/>
        <w:jc w:val="both"/>
        <w:rPr>
          <w:rFonts w:ascii="Times New Roman" w:hAnsi="Times New Roman" w:cs="Times New Roman"/>
          <w:bCs/>
          <w:iCs/>
          <w:sz w:val="24"/>
          <w:szCs w:val="20"/>
        </w:rPr>
      </w:pPr>
    </w:p>
    <w:p w:rsidR="003241F4" w:rsidRPr="006973B5" w:rsidRDefault="00BF113C" w:rsidP="003E441C">
      <w:pPr>
        <w:spacing w:after="0"/>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Le District de Bamako étant à la fois la Capitale politique et économique du Pays, attire </w:t>
      </w:r>
      <w:r w:rsidR="00276C82" w:rsidRPr="006973B5">
        <w:rPr>
          <w:rFonts w:ascii="Times New Roman" w:hAnsi="Times New Roman" w:cs="Times New Roman"/>
          <w:bCs/>
          <w:iCs/>
          <w:sz w:val="24"/>
          <w:szCs w:val="20"/>
        </w:rPr>
        <w:t xml:space="preserve">l’essentiel de l’exode </w:t>
      </w:r>
      <w:r w:rsidR="00AD3E3E" w:rsidRPr="006973B5">
        <w:rPr>
          <w:rFonts w:ascii="Times New Roman" w:hAnsi="Times New Roman" w:cs="Times New Roman"/>
          <w:bCs/>
          <w:iCs/>
          <w:sz w:val="24"/>
          <w:szCs w:val="20"/>
        </w:rPr>
        <w:t>rural</w:t>
      </w:r>
      <w:r w:rsidR="00150879" w:rsidRPr="006973B5">
        <w:rPr>
          <w:rFonts w:ascii="Times New Roman" w:hAnsi="Times New Roman" w:cs="Times New Roman"/>
          <w:bCs/>
          <w:iCs/>
          <w:sz w:val="24"/>
          <w:szCs w:val="20"/>
        </w:rPr>
        <w:t xml:space="preserve">. Depuis les indépendances, toutes les grandes écoles supérieures sont basées à Bamako. </w:t>
      </w:r>
      <w:r w:rsidR="00EA356D" w:rsidRPr="006973B5">
        <w:rPr>
          <w:rFonts w:ascii="Times New Roman" w:hAnsi="Times New Roman" w:cs="Times New Roman"/>
          <w:bCs/>
          <w:iCs/>
          <w:sz w:val="24"/>
          <w:szCs w:val="20"/>
        </w:rPr>
        <w:t xml:space="preserve"> </w:t>
      </w:r>
      <w:r w:rsidR="000C03E1" w:rsidRPr="006973B5">
        <w:rPr>
          <w:rFonts w:ascii="Times New Roman" w:hAnsi="Times New Roman" w:cs="Times New Roman"/>
          <w:bCs/>
          <w:iCs/>
          <w:sz w:val="24"/>
          <w:szCs w:val="20"/>
        </w:rPr>
        <w:t xml:space="preserve"> </w:t>
      </w:r>
      <w:r w:rsidR="00354698" w:rsidRPr="006973B5">
        <w:rPr>
          <w:rFonts w:ascii="Times New Roman" w:hAnsi="Times New Roman" w:cs="Times New Roman"/>
          <w:bCs/>
          <w:iCs/>
          <w:sz w:val="24"/>
          <w:szCs w:val="20"/>
        </w:rPr>
        <w:t>En plus de celles-ci</w:t>
      </w:r>
      <w:r w:rsidR="00477123" w:rsidRPr="006973B5">
        <w:rPr>
          <w:rFonts w:ascii="Times New Roman" w:hAnsi="Times New Roman" w:cs="Times New Roman"/>
          <w:bCs/>
          <w:iCs/>
          <w:sz w:val="24"/>
          <w:szCs w:val="20"/>
        </w:rPr>
        <w:t>,</w:t>
      </w:r>
      <w:r w:rsidR="00354698" w:rsidRPr="006973B5">
        <w:rPr>
          <w:rFonts w:ascii="Times New Roman" w:hAnsi="Times New Roman" w:cs="Times New Roman"/>
          <w:bCs/>
          <w:iCs/>
          <w:sz w:val="24"/>
          <w:szCs w:val="20"/>
        </w:rPr>
        <w:t xml:space="preserve"> la capitale abrite actuellement quatre des cinq universités du pays. </w:t>
      </w:r>
      <w:r w:rsidR="00477123" w:rsidRPr="006973B5">
        <w:rPr>
          <w:rFonts w:ascii="Times New Roman" w:hAnsi="Times New Roman" w:cs="Times New Roman"/>
          <w:bCs/>
          <w:iCs/>
          <w:sz w:val="24"/>
          <w:szCs w:val="20"/>
        </w:rPr>
        <w:t>Le siège des grandes entreprises se trouvent aussi à Ba</w:t>
      </w:r>
      <w:r w:rsidR="00AD3E3E">
        <w:rPr>
          <w:rFonts w:ascii="Times New Roman" w:hAnsi="Times New Roman" w:cs="Times New Roman"/>
          <w:bCs/>
          <w:iCs/>
          <w:sz w:val="24"/>
          <w:szCs w:val="20"/>
        </w:rPr>
        <w:t>mako. Ces atouts font d’elle un</w:t>
      </w:r>
      <w:r w:rsidR="00477123" w:rsidRPr="006973B5">
        <w:rPr>
          <w:rFonts w:ascii="Times New Roman" w:hAnsi="Times New Roman" w:cs="Times New Roman"/>
          <w:bCs/>
          <w:iCs/>
          <w:sz w:val="24"/>
          <w:szCs w:val="20"/>
        </w:rPr>
        <w:t xml:space="preserve"> pôle d’attraction</w:t>
      </w:r>
      <w:r w:rsidR="00F059E1" w:rsidRPr="006973B5">
        <w:rPr>
          <w:rFonts w:ascii="Times New Roman" w:hAnsi="Times New Roman" w:cs="Times New Roman"/>
          <w:bCs/>
          <w:iCs/>
          <w:sz w:val="24"/>
          <w:szCs w:val="20"/>
        </w:rPr>
        <w:t xml:space="preserve">. </w:t>
      </w:r>
      <w:r w:rsidR="00C63CF0" w:rsidRPr="006973B5">
        <w:rPr>
          <w:rFonts w:ascii="Times New Roman" w:hAnsi="Times New Roman" w:cs="Times New Roman"/>
          <w:bCs/>
          <w:iCs/>
          <w:sz w:val="24"/>
          <w:szCs w:val="20"/>
        </w:rPr>
        <w:lastRenderedPageBreak/>
        <w:t>La proximité de l</w:t>
      </w:r>
      <w:r w:rsidR="00F059E1" w:rsidRPr="006973B5">
        <w:rPr>
          <w:rFonts w:ascii="Times New Roman" w:hAnsi="Times New Roman" w:cs="Times New Roman"/>
          <w:bCs/>
          <w:iCs/>
          <w:sz w:val="24"/>
          <w:szCs w:val="20"/>
        </w:rPr>
        <w:t>a région de Koulikoro</w:t>
      </w:r>
      <w:r w:rsidR="00C63CF0" w:rsidRPr="006973B5">
        <w:rPr>
          <w:rFonts w:ascii="Times New Roman" w:hAnsi="Times New Roman" w:cs="Times New Roman"/>
          <w:bCs/>
          <w:iCs/>
          <w:sz w:val="24"/>
          <w:szCs w:val="20"/>
        </w:rPr>
        <w:t xml:space="preserve"> avec la capitale joue à sa défaveur. Cette région a connu le taux d’emploi le plus faible après la région de Gao en 2017. </w:t>
      </w:r>
    </w:p>
    <w:p w:rsidR="003241F4" w:rsidRPr="006973B5" w:rsidRDefault="003241F4" w:rsidP="003E441C">
      <w:pPr>
        <w:spacing w:after="0"/>
        <w:jc w:val="both"/>
        <w:rPr>
          <w:rFonts w:ascii="Times New Roman" w:hAnsi="Times New Roman" w:cs="Times New Roman"/>
          <w:bCs/>
          <w:iCs/>
          <w:sz w:val="24"/>
          <w:szCs w:val="20"/>
        </w:rPr>
      </w:pPr>
    </w:p>
    <w:p w:rsidR="00E85A3B" w:rsidRPr="006973B5" w:rsidRDefault="00326918" w:rsidP="00C535F5">
      <w:pPr>
        <w:spacing w:after="0"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Nous constatons un taux de chômage élevé dans cinq régions</w:t>
      </w:r>
      <w:r w:rsidR="00D50DDA" w:rsidRPr="006973B5">
        <w:rPr>
          <w:rFonts w:ascii="Times New Roman" w:hAnsi="Times New Roman" w:cs="Times New Roman"/>
          <w:bCs/>
          <w:iCs/>
          <w:sz w:val="24"/>
          <w:szCs w:val="20"/>
        </w:rPr>
        <w:t xml:space="preserve"> (tableau 3)</w:t>
      </w:r>
      <w:r w:rsidRPr="006973B5">
        <w:rPr>
          <w:rFonts w:ascii="Times New Roman" w:hAnsi="Times New Roman" w:cs="Times New Roman"/>
          <w:bCs/>
          <w:iCs/>
          <w:sz w:val="24"/>
          <w:szCs w:val="20"/>
        </w:rPr>
        <w:t>. Les quatre régions énumérées ci-dessus plus la région de Mopti. Le district de Bamako connait un taux de chômage élevé persistant</w:t>
      </w:r>
      <w:r w:rsidR="00C63416" w:rsidRPr="006973B5">
        <w:rPr>
          <w:rFonts w:ascii="Times New Roman" w:hAnsi="Times New Roman" w:cs="Times New Roman"/>
          <w:bCs/>
          <w:iCs/>
          <w:sz w:val="24"/>
          <w:szCs w:val="20"/>
        </w:rPr>
        <w:t xml:space="preserve"> depuis </w:t>
      </w:r>
      <w:r w:rsidR="00EC2605" w:rsidRPr="006973B5">
        <w:rPr>
          <w:rFonts w:ascii="Times New Roman" w:hAnsi="Times New Roman" w:cs="Times New Roman"/>
          <w:bCs/>
          <w:iCs/>
          <w:sz w:val="24"/>
          <w:szCs w:val="20"/>
        </w:rPr>
        <w:t>cinq ans</w:t>
      </w:r>
      <w:r w:rsidR="00C63416" w:rsidRPr="006973B5">
        <w:rPr>
          <w:rFonts w:ascii="Times New Roman" w:hAnsi="Times New Roman" w:cs="Times New Roman"/>
          <w:bCs/>
          <w:iCs/>
          <w:sz w:val="24"/>
          <w:szCs w:val="20"/>
        </w:rPr>
        <w:t>. Le</w:t>
      </w:r>
      <w:r w:rsidRPr="006973B5">
        <w:rPr>
          <w:rFonts w:ascii="Times New Roman" w:hAnsi="Times New Roman" w:cs="Times New Roman"/>
          <w:bCs/>
          <w:iCs/>
          <w:sz w:val="24"/>
          <w:szCs w:val="20"/>
        </w:rPr>
        <w:t xml:space="preserve"> taux de chômage des jeunes dans la région de Gao </w:t>
      </w:r>
      <w:r w:rsidR="00C63416" w:rsidRPr="006973B5">
        <w:rPr>
          <w:rFonts w:ascii="Times New Roman" w:hAnsi="Times New Roman" w:cs="Times New Roman"/>
          <w:bCs/>
          <w:iCs/>
          <w:sz w:val="24"/>
          <w:szCs w:val="20"/>
        </w:rPr>
        <w:t>a</w:t>
      </w:r>
      <w:r w:rsidRPr="006973B5">
        <w:rPr>
          <w:rFonts w:ascii="Times New Roman" w:hAnsi="Times New Roman" w:cs="Times New Roman"/>
          <w:bCs/>
          <w:iCs/>
          <w:sz w:val="24"/>
          <w:szCs w:val="20"/>
        </w:rPr>
        <w:t xml:space="preserve"> explosé au cours des trois dernières années dépassant les 60%. Elle est suivie de la région de Koulikoro. </w:t>
      </w:r>
      <w:r w:rsidR="00C63416" w:rsidRPr="006973B5">
        <w:rPr>
          <w:rFonts w:ascii="Times New Roman" w:hAnsi="Times New Roman" w:cs="Times New Roman"/>
          <w:bCs/>
          <w:iCs/>
          <w:sz w:val="24"/>
          <w:szCs w:val="20"/>
        </w:rPr>
        <w:t xml:space="preserve">Le taux de chômage enregistré dans la région </w:t>
      </w:r>
      <w:r w:rsidR="006F319E" w:rsidRPr="006973B5">
        <w:rPr>
          <w:rFonts w:ascii="Times New Roman" w:hAnsi="Times New Roman" w:cs="Times New Roman"/>
          <w:bCs/>
          <w:iCs/>
          <w:sz w:val="24"/>
          <w:szCs w:val="20"/>
        </w:rPr>
        <w:t>d</w:t>
      </w:r>
      <w:r w:rsidR="00C63416" w:rsidRPr="006973B5">
        <w:rPr>
          <w:rFonts w:ascii="Times New Roman" w:hAnsi="Times New Roman" w:cs="Times New Roman"/>
          <w:bCs/>
          <w:iCs/>
          <w:sz w:val="24"/>
          <w:szCs w:val="20"/>
        </w:rPr>
        <w:t xml:space="preserve">e Mopti a </w:t>
      </w:r>
      <w:r w:rsidR="00373716" w:rsidRPr="006973B5">
        <w:rPr>
          <w:rFonts w:ascii="Times New Roman" w:hAnsi="Times New Roman" w:cs="Times New Roman"/>
          <w:bCs/>
          <w:iCs/>
          <w:sz w:val="24"/>
          <w:szCs w:val="20"/>
        </w:rPr>
        <w:t>dépassé</w:t>
      </w:r>
      <w:r w:rsidR="00C63416" w:rsidRPr="006973B5">
        <w:rPr>
          <w:rFonts w:ascii="Times New Roman" w:hAnsi="Times New Roman" w:cs="Times New Roman"/>
          <w:bCs/>
          <w:iCs/>
          <w:sz w:val="24"/>
          <w:szCs w:val="20"/>
        </w:rPr>
        <w:t xml:space="preserve"> </w:t>
      </w:r>
      <w:r w:rsidR="00373716" w:rsidRPr="006973B5">
        <w:rPr>
          <w:rFonts w:ascii="Times New Roman" w:hAnsi="Times New Roman" w:cs="Times New Roman"/>
          <w:bCs/>
          <w:iCs/>
          <w:sz w:val="24"/>
          <w:szCs w:val="20"/>
        </w:rPr>
        <w:t>la moyenne en 2015, avant de s’établir à 21,2% en 2017. Sur la période, les régions de Kayes, Sikasso et Ségou ont connu des taux relativement faible. La région de Sikasso a connu le plus faible taux en 2017, suivi de Kayes et de Ségou.</w:t>
      </w:r>
      <w:r w:rsidR="00BB72CD" w:rsidRPr="006973B5">
        <w:rPr>
          <w:rFonts w:ascii="Times New Roman" w:hAnsi="Times New Roman" w:cs="Times New Roman"/>
          <w:bCs/>
          <w:iCs/>
          <w:sz w:val="24"/>
          <w:szCs w:val="20"/>
        </w:rPr>
        <w:t xml:space="preserve"> </w:t>
      </w:r>
    </w:p>
    <w:p w:rsidR="00053F46" w:rsidRPr="006973B5" w:rsidRDefault="00053F46" w:rsidP="003E441C">
      <w:pPr>
        <w:spacing w:after="0"/>
        <w:jc w:val="both"/>
        <w:rPr>
          <w:rFonts w:ascii="Times New Roman" w:hAnsi="Times New Roman" w:cs="Times New Roman"/>
          <w:bCs/>
          <w:iCs/>
          <w:sz w:val="24"/>
          <w:szCs w:val="20"/>
        </w:rPr>
      </w:pPr>
    </w:p>
    <w:p w:rsidR="00211B05" w:rsidRPr="006973B5" w:rsidRDefault="00211B05" w:rsidP="00211B05">
      <w:pPr>
        <w:pStyle w:val="Lgende"/>
        <w:spacing w:after="0"/>
        <w:jc w:val="both"/>
        <w:rPr>
          <w:color w:val="auto"/>
          <w:sz w:val="20"/>
        </w:rPr>
      </w:pPr>
      <w:bookmarkStart w:id="20" w:name="_Toc516676455"/>
      <w:r w:rsidRPr="006973B5">
        <w:rPr>
          <w:color w:val="auto"/>
          <w:sz w:val="20"/>
        </w:rPr>
        <w:t xml:space="preserve">Tableau </w:t>
      </w:r>
      <w:r w:rsidRPr="006973B5">
        <w:rPr>
          <w:color w:val="auto"/>
          <w:sz w:val="20"/>
        </w:rPr>
        <w:fldChar w:fldCharType="begin"/>
      </w:r>
      <w:r w:rsidRPr="006973B5">
        <w:rPr>
          <w:color w:val="auto"/>
          <w:sz w:val="20"/>
        </w:rPr>
        <w:instrText xml:space="preserve"> SEQ Tableau \* ARABIC </w:instrText>
      </w:r>
      <w:r w:rsidRPr="006973B5">
        <w:rPr>
          <w:color w:val="auto"/>
          <w:sz w:val="20"/>
        </w:rPr>
        <w:fldChar w:fldCharType="separate"/>
      </w:r>
      <w:r w:rsidRPr="006973B5">
        <w:rPr>
          <w:noProof/>
          <w:color w:val="auto"/>
          <w:sz w:val="20"/>
        </w:rPr>
        <w:t>3</w:t>
      </w:r>
      <w:r w:rsidRPr="006973B5">
        <w:rPr>
          <w:color w:val="auto"/>
          <w:sz w:val="20"/>
        </w:rPr>
        <w:fldChar w:fldCharType="end"/>
      </w:r>
      <w:r w:rsidRPr="006973B5">
        <w:rPr>
          <w:color w:val="auto"/>
          <w:sz w:val="20"/>
        </w:rPr>
        <w:t>. Evolution du taux de chômage (en%) de 2013 à 2017 par région</w:t>
      </w:r>
      <w:bookmarkEnd w:id="20"/>
    </w:p>
    <w:tbl>
      <w:tblPr>
        <w:tblStyle w:val="Style1"/>
        <w:tblpPr w:leftFromText="141" w:rightFromText="141" w:vertAnchor="text" w:tblpY="1"/>
        <w:tblOverlap w:val="never"/>
        <w:tblW w:w="9399" w:type="dxa"/>
        <w:tblLook w:val="04A0" w:firstRow="1" w:lastRow="0" w:firstColumn="1" w:lastColumn="0" w:noHBand="0" w:noVBand="1"/>
      </w:tblPr>
      <w:tblGrid>
        <w:gridCol w:w="4810"/>
        <w:gridCol w:w="1069"/>
        <w:gridCol w:w="916"/>
        <w:gridCol w:w="917"/>
        <w:gridCol w:w="764"/>
        <w:gridCol w:w="923"/>
      </w:tblGrid>
      <w:tr w:rsidR="00E85A3B" w:rsidRPr="006973B5" w:rsidTr="00EC7B01">
        <w:trPr>
          <w:cnfStyle w:val="100000000000" w:firstRow="1" w:lastRow="0" w:firstColumn="0" w:lastColumn="0" w:oddVBand="0" w:evenVBand="0" w:oddHBand="0" w:evenHBand="0" w:firstRowFirstColumn="0" w:firstRowLastColumn="0" w:lastRowFirstColumn="0" w:lastRowLastColumn="0"/>
          <w:trHeight w:val="254"/>
        </w:trPr>
        <w:tc>
          <w:tcPr>
            <w:tcW w:w="4810" w:type="dxa"/>
            <w:tcBorders>
              <w:top w:val="single" w:sz="12" w:space="0" w:color="008000"/>
              <w:bottom w:val="single" w:sz="12" w:space="0" w:color="008000"/>
            </w:tcBorders>
            <w:hideMark/>
          </w:tcPr>
          <w:p w:rsidR="00E85A3B" w:rsidRPr="006973B5" w:rsidRDefault="00E85A3B" w:rsidP="00EC7B01">
            <w:pPr>
              <w:rPr>
                <w:rFonts w:ascii="Times New Roman" w:eastAsia="Times New Roman" w:hAnsi="Times New Roman" w:cs="Times New Roman"/>
                <w:b/>
                <w:color w:val="000000"/>
                <w:sz w:val="20"/>
                <w:szCs w:val="20"/>
                <w:lang w:eastAsia="fr-FR"/>
              </w:rPr>
            </w:pPr>
            <w:r w:rsidRPr="006973B5">
              <w:rPr>
                <w:rFonts w:ascii="Times New Roman" w:eastAsia="Times New Roman" w:hAnsi="Times New Roman" w:cs="Times New Roman"/>
                <w:b/>
                <w:color w:val="000000"/>
                <w:sz w:val="20"/>
                <w:szCs w:val="20"/>
                <w:lang w:eastAsia="fr-FR"/>
              </w:rPr>
              <w:t>Région  </w:t>
            </w:r>
          </w:p>
        </w:tc>
        <w:tc>
          <w:tcPr>
            <w:tcW w:w="1069" w:type="dxa"/>
            <w:tcBorders>
              <w:top w:val="single" w:sz="12" w:space="0" w:color="008000"/>
              <w:bottom w:val="single" w:sz="12" w:space="0" w:color="008000"/>
            </w:tcBorders>
            <w:noWrap/>
            <w:hideMark/>
          </w:tcPr>
          <w:p w:rsidR="00E85A3B" w:rsidRPr="006973B5" w:rsidRDefault="00E85A3B" w:rsidP="00EC7B01">
            <w:pPr>
              <w:jc w:val="right"/>
              <w:rPr>
                <w:rFonts w:ascii="Times New Roman" w:eastAsia="Times New Roman" w:hAnsi="Times New Roman" w:cs="Times New Roman"/>
                <w:b/>
                <w:bCs/>
                <w:color w:val="000000"/>
                <w:sz w:val="20"/>
                <w:szCs w:val="20"/>
                <w:lang w:eastAsia="fr-FR"/>
              </w:rPr>
            </w:pPr>
            <w:r w:rsidRPr="006973B5">
              <w:rPr>
                <w:rFonts w:ascii="Times New Roman" w:eastAsia="Times New Roman" w:hAnsi="Times New Roman" w:cs="Times New Roman"/>
                <w:b/>
                <w:bCs/>
                <w:color w:val="000000"/>
                <w:sz w:val="20"/>
                <w:szCs w:val="20"/>
                <w:lang w:eastAsia="fr-FR"/>
              </w:rPr>
              <w:t>2013</w:t>
            </w:r>
          </w:p>
        </w:tc>
        <w:tc>
          <w:tcPr>
            <w:tcW w:w="916" w:type="dxa"/>
            <w:tcBorders>
              <w:top w:val="single" w:sz="12" w:space="0" w:color="008000"/>
              <w:bottom w:val="single" w:sz="12" w:space="0" w:color="008000"/>
            </w:tcBorders>
            <w:noWrap/>
            <w:hideMark/>
          </w:tcPr>
          <w:p w:rsidR="00E85A3B" w:rsidRPr="006973B5" w:rsidRDefault="00E85A3B" w:rsidP="00EC7B01">
            <w:pPr>
              <w:jc w:val="right"/>
              <w:rPr>
                <w:rFonts w:ascii="Times New Roman" w:eastAsia="Times New Roman" w:hAnsi="Times New Roman" w:cs="Times New Roman"/>
                <w:b/>
                <w:bCs/>
                <w:color w:val="000000"/>
                <w:sz w:val="20"/>
                <w:szCs w:val="20"/>
                <w:lang w:eastAsia="fr-FR"/>
              </w:rPr>
            </w:pPr>
            <w:r w:rsidRPr="006973B5">
              <w:rPr>
                <w:rFonts w:ascii="Times New Roman" w:eastAsia="Times New Roman" w:hAnsi="Times New Roman" w:cs="Times New Roman"/>
                <w:b/>
                <w:bCs/>
                <w:color w:val="000000"/>
                <w:sz w:val="20"/>
                <w:szCs w:val="20"/>
                <w:lang w:eastAsia="fr-FR"/>
              </w:rPr>
              <w:t>2014</w:t>
            </w:r>
          </w:p>
        </w:tc>
        <w:tc>
          <w:tcPr>
            <w:tcW w:w="917" w:type="dxa"/>
            <w:tcBorders>
              <w:top w:val="single" w:sz="12" w:space="0" w:color="008000"/>
              <w:bottom w:val="single" w:sz="12" w:space="0" w:color="008000"/>
            </w:tcBorders>
            <w:noWrap/>
            <w:hideMark/>
          </w:tcPr>
          <w:p w:rsidR="00E85A3B" w:rsidRPr="006973B5" w:rsidRDefault="00E85A3B" w:rsidP="00EC7B01">
            <w:pPr>
              <w:jc w:val="right"/>
              <w:rPr>
                <w:rFonts w:ascii="Times New Roman" w:eastAsia="Times New Roman" w:hAnsi="Times New Roman" w:cs="Times New Roman"/>
                <w:b/>
                <w:bCs/>
                <w:color w:val="000000"/>
                <w:sz w:val="20"/>
                <w:szCs w:val="20"/>
                <w:lang w:eastAsia="fr-FR"/>
              </w:rPr>
            </w:pPr>
            <w:r w:rsidRPr="006973B5">
              <w:rPr>
                <w:rFonts w:ascii="Times New Roman" w:eastAsia="Times New Roman" w:hAnsi="Times New Roman" w:cs="Times New Roman"/>
                <w:b/>
                <w:bCs/>
                <w:color w:val="000000"/>
                <w:sz w:val="20"/>
                <w:szCs w:val="20"/>
                <w:lang w:eastAsia="fr-FR"/>
              </w:rPr>
              <w:t>2015</w:t>
            </w:r>
          </w:p>
        </w:tc>
        <w:tc>
          <w:tcPr>
            <w:tcW w:w="764" w:type="dxa"/>
            <w:tcBorders>
              <w:top w:val="single" w:sz="12" w:space="0" w:color="008000"/>
              <w:bottom w:val="single" w:sz="12" w:space="0" w:color="008000"/>
            </w:tcBorders>
            <w:noWrap/>
            <w:hideMark/>
          </w:tcPr>
          <w:p w:rsidR="00E85A3B" w:rsidRPr="006973B5" w:rsidRDefault="00E85A3B" w:rsidP="00EC7B01">
            <w:pPr>
              <w:jc w:val="right"/>
              <w:rPr>
                <w:rFonts w:ascii="Times New Roman" w:eastAsia="Times New Roman" w:hAnsi="Times New Roman" w:cs="Times New Roman"/>
                <w:b/>
                <w:bCs/>
                <w:color w:val="000000"/>
                <w:sz w:val="20"/>
                <w:szCs w:val="20"/>
                <w:lang w:eastAsia="fr-FR"/>
              </w:rPr>
            </w:pPr>
            <w:r w:rsidRPr="006973B5">
              <w:rPr>
                <w:rFonts w:ascii="Times New Roman" w:eastAsia="Times New Roman" w:hAnsi="Times New Roman" w:cs="Times New Roman"/>
                <w:b/>
                <w:bCs/>
                <w:color w:val="000000"/>
                <w:sz w:val="20"/>
                <w:szCs w:val="20"/>
                <w:lang w:eastAsia="fr-FR"/>
              </w:rPr>
              <w:t>2016</w:t>
            </w:r>
          </w:p>
        </w:tc>
        <w:tc>
          <w:tcPr>
            <w:tcW w:w="923" w:type="dxa"/>
            <w:tcBorders>
              <w:top w:val="single" w:sz="12" w:space="0" w:color="008000"/>
              <w:bottom w:val="single" w:sz="12" w:space="0" w:color="008000"/>
            </w:tcBorders>
            <w:noWrap/>
            <w:hideMark/>
          </w:tcPr>
          <w:p w:rsidR="00E85A3B" w:rsidRPr="006973B5" w:rsidRDefault="00E85A3B" w:rsidP="00EC7B01">
            <w:pPr>
              <w:jc w:val="right"/>
              <w:rPr>
                <w:rFonts w:ascii="Times New Roman" w:eastAsia="Times New Roman" w:hAnsi="Times New Roman" w:cs="Times New Roman"/>
                <w:b/>
                <w:bCs/>
                <w:color w:val="000000"/>
                <w:sz w:val="20"/>
                <w:szCs w:val="20"/>
                <w:lang w:eastAsia="fr-FR"/>
              </w:rPr>
            </w:pPr>
            <w:r w:rsidRPr="006973B5">
              <w:rPr>
                <w:rFonts w:ascii="Times New Roman" w:eastAsia="Times New Roman" w:hAnsi="Times New Roman" w:cs="Times New Roman"/>
                <w:b/>
                <w:bCs/>
                <w:color w:val="000000"/>
                <w:sz w:val="20"/>
                <w:szCs w:val="20"/>
                <w:lang w:eastAsia="fr-FR"/>
              </w:rPr>
              <w:t>2017</w:t>
            </w:r>
          </w:p>
        </w:tc>
      </w:tr>
      <w:tr w:rsidR="00E85A3B" w:rsidRPr="006973B5" w:rsidTr="00EC7B01">
        <w:trPr>
          <w:trHeight w:val="243"/>
        </w:trPr>
        <w:tc>
          <w:tcPr>
            <w:tcW w:w="4810" w:type="dxa"/>
            <w:tcBorders>
              <w:top w:val="single" w:sz="12" w:space="0" w:color="008000"/>
            </w:tcBorders>
            <w:hideMark/>
          </w:tcPr>
          <w:p w:rsidR="00E85A3B" w:rsidRPr="006973B5" w:rsidRDefault="00E85A3B" w:rsidP="00EC7B01">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Kayes</w:t>
            </w:r>
          </w:p>
        </w:tc>
        <w:tc>
          <w:tcPr>
            <w:tcW w:w="1069" w:type="dxa"/>
            <w:tcBorders>
              <w:top w:val="single" w:sz="12" w:space="0" w:color="008000"/>
            </w:tcBorders>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9,5</w:t>
            </w:r>
          </w:p>
        </w:tc>
        <w:tc>
          <w:tcPr>
            <w:tcW w:w="916" w:type="dxa"/>
            <w:tcBorders>
              <w:top w:val="single" w:sz="12" w:space="0" w:color="008000"/>
            </w:tcBorders>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13</w:t>
            </w:r>
          </w:p>
        </w:tc>
        <w:tc>
          <w:tcPr>
            <w:tcW w:w="917" w:type="dxa"/>
            <w:tcBorders>
              <w:top w:val="single" w:sz="12" w:space="0" w:color="008000"/>
            </w:tcBorders>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3,6</w:t>
            </w:r>
          </w:p>
        </w:tc>
        <w:tc>
          <w:tcPr>
            <w:tcW w:w="764" w:type="dxa"/>
            <w:tcBorders>
              <w:top w:val="single" w:sz="12" w:space="0" w:color="008000"/>
            </w:tcBorders>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25,8</w:t>
            </w:r>
          </w:p>
        </w:tc>
        <w:tc>
          <w:tcPr>
            <w:tcW w:w="923" w:type="dxa"/>
            <w:tcBorders>
              <w:top w:val="single" w:sz="12" w:space="0" w:color="008000"/>
            </w:tcBorders>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8,7</w:t>
            </w:r>
          </w:p>
        </w:tc>
      </w:tr>
      <w:tr w:rsidR="00E85A3B" w:rsidRPr="006973B5" w:rsidTr="00EC7B01">
        <w:trPr>
          <w:trHeight w:val="243"/>
        </w:trPr>
        <w:tc>
          <w:tcPr>
            <w:tcW w:w="4810" w:type="dxa"/>
            <w:hideMark/>
          </w:tcPr>
          <w:p w:rsidR="00E85A3B" w:rsidRPr="006973B5" w:rsidRDefault="00E85A3B" w:rsidP="00EC7B01">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Koulikoro</w:t>
            </w:r>
          </w:p>
        </w:tc>
        <w:tc>
          <w:tcPr>
            <w:tcW w:w="1069"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7,2</w:t>
            </w:r>
          </w:p>
        </w:tc>
        <w:tc>
          <w:tcPr>
            <w:tcW w:w="916"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9,2</w:t>
            </w:r>
          </w:p>
        </w:tc>
        <w:tc>
          <w:tcPr>
            <w:tcW w:w="917"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61,9</w:t>
            </w:r>
          </w:p>
        </w:tc>
        <w:tc>
          <w:tcPr>
            <w:tcW w:w="764"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68,4</w:t>
            </w:r>
          </w:p>
        </w:tc>
        <w:tc>
          <w:tcPr>
            <w:tcW w:w="923"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62</w:t>
            </w:r>
          </w:p>
        </w:tc>
      </w:tr>
      <w:tr w:rsidR="00E85A3B" w:rsidRPr="006973B5" w:rsidTr="00EC7B01">
        <w:trPr>
          <w:trHeight w:val="243"/>
        </w:trPr>
        <w:tc>
          <w:tcPr>
            <w:tcW w:w="4810" w:type="dxa"/>
            <w:hideMark/>
          </w:tcPr>
          <w:p w:rsidR="00E85A3B" w:rsidRPr="006973B5" w:rsidRDefault="00E85A3B" w:rsidP="00EC7B01">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Sikasso</w:t>
            </w:r>
          </w:p>
        </w:tc>
        <w:tc>
          <w:tcPr>
            <w:tcW w:w="1069"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13,4</w:t>
            </w:r>
          </w:p>
        </w:tc>
        <w:tc>
          <w:tcPr>
            <w:tcW w:w="916"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8,4</w:t>
            </w:r>
          </w:p>
        </w:tc>
        <w:tc>
          <w:tcPr>
            <w:tcW w:w="917"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8,7</w:t>
            </w:r>
          </w:p>
        </w:tc>
        <w:tc>
          <w:tcPr>
            <w:tcW w:w="764"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14,2</w:t>
            </w:r>
          </w:p>
        </w:tc>
        <w:tc>
          <w:tcPr>
            <w:tcW w:w="923"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6,4</w:t>
            </w:r>
          </w:p>
        </w:tc>
      </w:tr>
      <w:tr w:rsidR="00E85A3B" w:rsidRPr="006973B5" w:rsidTr="00EC7B01">
        <w:trPr>
          <w:trHeight w:val="243"/>
        </w:trPr>
        <w:tc>
          <w:tcPr>
            <w:tcW w:w="4810" w:type="dxa"/>
            <w:hideMark/>
          </w:tcPr>
          <w:p w:rsidR="00E85A3B" w:rsidRPr="006973B5" w:rsidRDefault="00E85A3B" w:rsidP="00EC7B01">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Ségou</w:t>
            </w:r>
          </w:p>
        </w:tc>
        <w:tc>
          <w:tcPr>
            <w:tcW w:w="1069"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7,7</w:t>
            </w:r>
          </w:p>
        </w:tc>
        <w:tc>
          <w:tcPr>
            <w:tcW w:w="916"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7,6</w:t>
            </w:r>
          </w:p>
        </w:tc>
        <w:tc>
          <w:tcPr>
            <w:tcW w:w="917"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7,6</w:t>
            </w:r>
          </w:p>
        </w:tc>
        <w:tc>
          <w:tcPr>
            <w:tcW w:w="764"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12,3</w:t>
            </w:r>
          </w:p>
        </w:tc>
        <w:tc>
          <w:tcPr>
            <w:tcW w:w="923"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9,2</w:t>
            </w:r>
          </w:p>
        </w:tc>
      </w:tr>
      <w:tr w:rsidR="00E85A3B" w:rsidRPr="006973B5" w:rsidTr="00EC7B01">
        <w:trPr>
          <w:trHeight w:val="243"/>
        </w:trPr>
        <w:tc>
          <w:tcPr>
            <w:tcW w:w="4810" w:type="dxa"/>
            <w:hideMark/>
          </w:tcPr>
          <w:p w:rsidR="00E85A3B" w:rsidRPr="006973B5" w:rsidRDefault="00E85A3B" w:rsidP="00EC7B01">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Mopti</w:t>
            </w:r>
          </w:p>
        </w:tc>
        <w:tc>
          <w:tcPr>
            <w:tcW w:w="1069"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3,3</w:t>
            </w:r>
          </w:p>
        </w:tc>
        <w:tc>
          <w:tcPr>
            <w:tcW w:w="916"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w:t>
            </w:r>
          </w:p>
        </w:tc>
        <w:tc>
          <w:tcPr>
            <w:tcW w:w="917"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31,3</w:t>
            </w:r>
          </w:p>
        </w:tc>
        <w:tc>
          <w:tcPr>
            <w:tcW w:w="764"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28,6</w:t>
            </w:r>
          </w:p>
        </w:tc>
        <w:tc>
          <w:tcPr>
            <w:tcW w:w="923"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21,2</w:t>
            </w:r>
          </w:p>
        </w:tc>
      </w:tr>
      <w:tr w:rsidR="00E85A3B" w:rsidRPr="006973B5" w:rsidTr="00EC7B01">
        <w:trPr>
          <w:trHeight w:val="243"/>
        </w:trPr>
        <w:tc>
          <w:tcPr>
            <w:tcW w:w="4810" w:type="dxa"/>
            <w:hideMark/>
          </w:tcPr>
          <w:p w:rsidR="00E85A3B" w:rsidRPr="006973B5" w:rsidRDefault="00E85A3B" w:rsidP="00EC7B01">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Tombouctou</w:t>
            </w:r>
          </w:p>
        </w:tc>
        <w:tc>
          <w:tcPr>
            <w:tcW w:w="1069" w:type="dxa"/>
            <w:noWrap/>
            <w:hideMark/>
          </w:tcPr>
          <w:p w:rsidR="00E85A3B" w:rsidRPr="006973B5" w:rsidRDefault="00E85A3B" w:rsidP="00EC7B01">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 </w:t>
            </w:r>
          </w:p>
        </w:tc>
        <w:tc>
          <w:tcPr>
            <w:tcW w:w="916"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12,3</w:t>
            </w:r>
          </w:p>
        </w:tc>
        <w:tc>
          <w:tcPr>
            <w:tcW w:w="917"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32,1</w:t>
            </w:r>
          </w:p>
        </w:tc>
        <w:tc>
          <w:tcPr>
            <w:tcW w:w="764"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21</w:t>
            </w:r>
          </w:p>
        </w:tc>
        <w:tc>
          <w:tcPr>
            <w:tcW w:w="923"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11,1</w:t>
            </w:r>
          </w:p>
        </w:tc>
      </w:tr>
      <w:tr w:rsidR="00E85A3B" w:rsidRPr="006973B5" w:rsidTr="00EC7B01">
        <w:trPr>
          <w:trHeight w:val="243"/>
        </w:trPr>
        <w:tc>
          <w:tcPr>
            <w:tcW w:w="4810" w:type="dxa"/>
            <w:hideMark/>
          </w:tcPr>
          <w:p w:rsidR="00E85A3B" w:rsidRPr="006973B5" w:rsidRDefault="00E85A3B" w:rsidP="00EC7B01">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Gao</w:t>
            </w:r>
          </w:p>
        </w:tc>
        <w:tc>
          <w:tcPr>
            <w:tcW w:w="1069" w:type="dxa"/>
            <w:noWrap/>
            <w:hideMark/>
          </w:tcPr>
          <w:p w:rsidR="00E85A3B" w:rsidRPr="006973B5" w:rsidRDefault="00E85A3B" w:rsidP="00EC7B01">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 </w:t>
            </w:r>
          </w:p>
        </w:tc>
        <w:tc>
          <w:tcPr>
            <w:tcW w:w="916"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32</w:t>
            </w:r>
          </w:p>
        </w:tc>
        <w:tc>
          <w:tcPr>
            <w:tcW w:w="917"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56</w:t>
            </w:r>
          </w:p>
        </w:tc>
        <w:tc>
          <w:tcPr>
            <w:tcW w:w="764"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74,5</w:t>
            </w:r>
          </w:p>
        </w:tc>
        <w:tc>
          <w:tcPr>
            <w:tcW w:w="923" w:type="dxa"/>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67,4</w:t>
            </w:r>
          </w:p>
        </w:tc>
      </w:tr>
      <w:tr w:rsidR="00E85A3B" w:rsidRPr="006973B5" w:rsidTr="00EC7B01">
        <w:trPr>
          <w:trHeight w:val="146"/>
        </w:trPr>
        <w:tc>
          <w:tcPr>
            <w:tcW w:w="4810" w:type="dxa"/>
            <w:tcBorders>
              <w:bottom w:val="single" w:sz="12" w:space="0" w:color="008000"/>
            </w:tcBorders>
            <w:hideMark/>
          </w:tcPr>
          <w:p w:rsidR="00E85A3B" w:rsidRPr="006973B5" w:rsidRDefault="00E85A3B" w:rsidP="00EC7B01">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Bamako</w:t>
            </w:r>
          </w:p>
        </w:tc>
        <w:tc>
          <w:tcPr>
            <w:tcW w:w="1069" w:type="dxa"/>
            <w:tcBorders>
              <w:bottom w:val="single" w:sz="12" w:space="0" w:color="008000"/>
            </w:tcBorders>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18,7</w:t>
            </w:r>
          </w:p>
        </w:tc>
        <w:tc>
          <w:tcPr>
            <w:tcW w:w="916" w:type="dxa"/>
            <w:tcBorders>
              <w:bottom w:val="single" w:sz="12" w:space="0" w:color="008000"/>
            </w:tcBorders>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23,4</w:t>
            </w:r>
          </w:p>
        </w:tc>
        <w:tc>
          <w:tcPr>
            <w:tcW w:w="917" w:type="dxa"/>
            <w:tcBorders>
              <w:bottom w:val="single" w:sz="12" w:space="0" w:color="008000"/>
            </w:tcBorders>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23,2</w:t>
            </w:r>
          </w:p>
        </w:tc>
        <w:tc>
          <w:tcPr>
            <w:tcW w:w="764" w:type="dxa"/>
            <w:tcBorders>
              <w:bottom w:val="single" w:sz="12" w:space="0" w:color="008000"/>
            </w:tcBorders>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26,1</w:t>
            </w:r>
          </w:p>
          <w:p w:rsidR="003241F4" w:rsidRPr="006973B5" w:rsidRDefault="003241F4" w:rsidP="00EC7B01">
            <w:pPr>
              <w:jc w:val="right"/>
              <w:rPr>
                <w:rFonts w:ascii="Times New Roman" w:eastAsia="Times New Roman" w:hAnsi="Times New Roman" w:cs="Times New Roman"/>
                <w:color w:val="000000"/>
                <w:sz w:val="20"/>
                <w:szCs w:val="20"/>
                <w:lang w:eastAsia="fr-FR"/>
              </w:rPr>
            </w:pPr>
          </w:p>
        </w:tc>
        <w:tc>
          <w:tcPr>
            <w:tcW w:w="923" w:type="dxa"/>
            <w:tcBorders>
              <w:bottom w:val="single" w:sz="12" w:space="0" w:color="008000"/>
            </w:tcBorders>
            <w:noWrap/>
            <w:hideMark/>
          </w:tcPr>
          <w:p w:rsidR="00E85A3B" w:rsidRPr="006973B5" w:rsidRDefault="00E85A3B" w:rsidP="00EC7B01">
            <w:pPr>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27,5</w:t>
            </w:r>
          </w:p>
        </w:tc>
      </w:tr>
      <w:tr w:rsidR="00E85A3B" w:rsidRPr="006973B5" w:rsidTr="00EC7B01">
        <w:trPr>
          <w:trHeight w:val="243"/>
        </w:trPr>
        <w:tc>
          <w:tcPr>
            <w:tcW w:w="4810" w:type="dxa"/>
            <w:tcBorders>
              <w:top w:val="single" w:sz="12" w:space="0" w:color="008000"/>
              <w:bottom w:val="single" w:sz="12" w:space="0" w:color="008000"/>
            </w:tcBorders>
            <w:hideMark/>
          </w:tcPr>
          <w:p w:rsidR="00E85A3B" w:rsidRPr="006973B5" w:rsidRDefault="00E85A3B" w:rsidP="00EC7B01">
            <w:pPr>
              <w:rPr>
                <w:rFonts w:ascii="Times New Roman" w:eastAsia="Times New Roman" w:hAnsi="Times New Roman" w:cs="Times New Roman"/>
                <w:b/>
                <w:color w:val="000000"/>
                <w:sz w:val="20"/>
                <w:szCs w:val="20"/>
                <w:lang w:eastAsia="fr-FR"/>
              </w:rPr>
            </w:pPr>
            <w:r w:rsidRPr="006973B5">
              <w:rPr>
                <w:rFonts w:ascii="Times New Roman" w:eastAsia="Times New Roman" w:hAnsi="Times New Roman" w:cs="Times New Roman"/>
                <w:b/>
                <w:color w:val="000000"/>
                <w:sz w:val="20"/>
                <w:szCs w:val="20"/>
                <w:lang w:eastAsia="fr-FR"/>
              </w:rPr>
              <w:t>Total</w:t>
            </w:r>
          </w:p>
        </w:tc>
        <w:tc>
          <w:tcPr>
            <w:tcW w:w="1069" w:type="dxa"/>
            <w:tcBorders>
              <w:top w:val="single" w:sz="12" w:space="0" w:color="008000"/>
              <w:bottom w:val="single" w:sz="12" w:space="0" w:color="008000"/>
            </w:tcBorders>
            <w:noWrap/>
            <w:hideMark/>
          </w:tcPr>
          <w:p w:rsidR="00E85A3B" w:rsidRPr="006973B5" w:rsidRDefault="00E85A3B" w:rsidP="00EC7B01">
            <w:pPr>
              <w:jc w:val="right"/>
              <w:rPr>
                <w:rFonts w:ascii="Times New Roman" w:eastAsia="Times New Roman" w:hAnsi="Times New Roman" w:cs="Times New Roman"/>
                <w:b/>
                <w:color w:val="000000"/>
                <w:sz w:val="20"/>
                <w:szCs w:val="20"/>
                <w:lang w:eastAsia="fr-FR"/>
              </w:rPr>
            </w:pPr>
            <w:r w:rsidRPr="006973B5">
              <w:rPr>
                <w:rFonts w:ascii="Times New Roman" w:eastAsia="Times New Roman" w:hAnsi="Times New Roman" w:cs="Times New Roman"/>
                <w:b/>
                <w:color w:val="000000"/>
                <w:sz w:val="20"/>
                <w:szCs w:val="20"/>
                <w:lang w:eastAsia="fr-FR"/>
              </w:rPr>
              <w:t>9,5</w:t>
            </w:r>
          </w:p>
        </w:tc>
        <w:tc>
          <w:tcPr>
            <w:tcW w:w="916" w:type="dxa"/>
            <w:tcBorders>
              <w:top w:val="single" w:sz="12" w:space="0" w:color="008000"/>
              <w:bottom w:val="single" w:sz="12" w:space="0" w:color="008000"/>
            </w:tcBorders>
            <w:noWrap/>
            <w:hideMark/>
          </w:tcPr>
          <w:p w:rsidR="00E85A3B" w:rsidRPr="006973B5" w:rsidRDefault="00E85A3B" w:rsidP="00EC7B01">
            <w:pPr>
              <w:jc w:val="right"/>
              <w:rPr>
                <w:rFonts w:ascii="Times New Roman" w:eastAsia="Times New Roman" w:hAnsi="Times New Roman" w:cs="Times New Roman"/>
                <w:b/>
                <w:color w:val="000000"/>
                <w:sz w:val="20"/>
                <w:szCs w:val="20"/>
                <w:lang w:eastAsia="fr-FR"/>
              </w:rPr>
            </w:pPr>
            <w:r w:rsidRPr="006973B5">
              <w:rPr>
                <w:rFonts w:ascii="Times New Roman" w:eastAsia="Times New Roman" w:hAnsi="Times New Roman" w:cs="Times New Roman"/>
                <w:b/>
                <w:color w:val="000000"/>
                <w:sz w:val="20"/>
                <w:szCs w:val="20"/>
                <w:lang w:eastAsia="fr-FR"/>
              </w:rPr>
              <w:t>11,1</w:t>
            </w:r>
          </w:p>
        </w:tc>
        <w:tc>
          <w:tcPr>
            <w:tcW w:w="917" w:type="dxa"/>
            <w:tcBorders>
              <w:top w:val="single" w:sz="12" w:space="0" w:color="008000"/>
              <w:bottom w:val="single" w:sz="12" w:space="0" w:color="008000"/>
            </w:tcBorders>
            <w:noWrap/>
            <w:hideMark/>
          </w:tcPr>
          <w:p w:rsidR="00E85A3B" w:rsidRPr="006973B5" w:rsidRDefault="00E85A3B" w:rsidP="00EC7B01">
            <w:pPr>
              <w:jc w:val="right"/>
              <w:rPr>
                <w:rFonts w:ascii="Times New Roman" w:eastAsia="Times New Roman" w:hAnsi="Times New Roman" w:cs="Times New Roman"/>
                <w:b/>
                <w:color w:val="000000"/>
                <w:sz w:val="20"/>
                <w:szCs w:val="20"/>
                <w:lang w:eastAsia="fr-FR"/>
              </w:rPr>
            </w:pPr>
            <w:r w:rsidRPr="006973B5">
              <w:rPr>
                <w:rFonts w:ascii="Times New Roman" w:eastAsia="Times New Roman" w:hAnsi="Times New Roman" w:cs="Times New Roman"/>
                <w:b/>
                <w:color w:val="000000"/>
                <w:sz w:val="20"/>
                <w:szCs w:val="20"/>
                <w:lang w:eastAsia="fr-FR"/>
              </w:rPr>
              <w:t>22,5</w:t>
            </w:r>
          </w:p>
        </w:tc>
        <w:tc>
          <w:tcPr>
            <w:tcW w:w="764" w:type="dxa"/>
            <w:tcBorders>
              <w:top w:val="single" w:sz="12" w:space="0" w:color="008000"/>
              <w:bottom w:val="single" w:sz="12" w:space="0" w:color="008000"/>
            </w:tcBorders>
            <w:noWrap/>
            <w:hideMark/>
          </w:tcPr>
          <w:p w:rsidR="00E85A3B" w:rsidRPr="006973B5" w:rsidRDefault="00E85A3B" w:rsidP="00EC7B01">
            <w:pPr>
              <w:jc w:val="right"/>
              <w:rPr>
                <w:rFonts w:ascii="Times New Roman" w:eastAsia="Times New Roman" w:hAnsi="Times New Roman" w:cs="Times New Roman"/>
                <w:b/>
                <w:color w:val="000000"/>
                <w:sz w:val="20"/>
                <w:szCs w:val="20"/>
                <w:lang w:eastAsia="fr-FR"/>
              </w:rPr>
            </w:pPr>
            <w:r w:rsidRPr="006973B5">
              <w:rPr>
                <w:rFonts w:ascii="Times New Roman" w:eastAsia="Times New Roman" w:hAnsi="Times New Roman" w:cs="Times New Roman"/>
                <w:b/>
                <w:color w:val="000000"/>
                <w:sz w:val="20"/>
                <w:szCs w:val="20"/>
                <w:lang w:eastAsia="fr-FR"/>
              </w:rPr>
              <w:t>30,4</w:t>
            </w:r>
          </w:p>
        </w:tc>
        <w:tc>
          <w:tcPr>
            <w:tcW w:w="923" w:type="dxa"/>
            <w:tcBorders>
              <w:top w:val="single" w:sz="12" w:space="0" w:color="008000"/>
              <w:bottom w:val="single" w:sz="12" w:space="0" w:color="008000"/>
            </w:tcBorders>
            <w:noWrap/>
            <w:hideMark/>
          </w:tcPr>
          <w:p w:rsidR="00E85A3B" w:rsidRPr="006973B5" w:rsidRDefault="00E85A3B" w:rsidP="00EC7B01">
            <w:pPr>
              <w:jc w:val="right"/>
              <w:rPr>
                <w:rFonts w:ascii="Times New Roman" w:eastAsia="Times New Roman" w:hAnsi="Times New Roman" w:cs="Times New Roman"/>
                <w:b/>
                <w:color w:val="000000"/>
                <w:sz w:val="20"/>
                <w:szCs w:val="20"/>
                <w:lang w:eastAsia="fr-FR"/>
              </w:rPr>
            </w:pPr>
            <w:r w:rsidRPr="006973B5">
              <w:rPr>
                <w:rFonts w:ascii="Times New Roman" w:eastAsia="Times New Roman" w:hAnsi="Times New Roman" w:cs="Times New Roman"/>
                <w:b/>
                <w:color w:val="000000"/>
                <w:sz w:val="20"/>
                <w:szCs w:val="20"/>
                <w:lang w:eastAsia="fr-FR"/>
              </w:rPr>
              <w:t>21,9</w:t>
            </w:r>
          </w:p>
        </w:tc>
      </w:tr>
    </w:tbl>
    <w:p w:rsidR="00E85A3B" w:rsidRPr="006973B5" w:rsidRDefault="00EC7B01" w:rsidP="00E85A3B">
      <w:pPr>
        <w:spacing w:after="0"/>
        <w:rPr>
          <w:rFonts w:ascii="Times New Roman" w:hAnsi="Times New Roman" w:cs="Times New Roman"/>
          <w:bCs/>
          <w:iCs/>
          <w:szCs w:val="20"/>
        </w:rPr>
      </w:pPr>
      <w:r w:rsidRPr="006973B5">
        <w:rPr>
          <w:rFonts w:ascii="Times New Roman" w:hAnsi="Times New Roman" w:cs="Times New Roman"/>
          <w:bCs/>
          <w:iCs/>
          <w:szCs w:val="20"/>
        </w:rPr>
        <w:br w:type="textWrapping" w:clear="all"/>
      </w:r>
    </w:p>
    <w:p w:rsidR="004B17F4" w:rsidRPr="006973B5" w:rsidRDefault="004B17F4" w:rsidP="00937EDF">
      <w:pPr>
        <w:pStyle w:val="Titre2"/>
        <w:numPr>
          <w:ilvl w:val="1"/>
          <w:numId w:val="14"/>
        </w:numPr>
        <w:rPr>
          <w:rFonts w:ascii="Times New Roman" w:hAnsi="Times New Roman" w:cs="Times New Roman"/>
          <w:b/>
          <w:color w:val="auto"/>
          <w:sz w:val="28"/>
        </w:rPr>
      </w:pPr>
      <w:bookmarkStart w:id="21" w:name="_Toc516676414"/>
      <w:r w:rsidRPr="006973B5">
        <w:rPr>
          <w:rFonts w:ascii="Times New Roman" w:hAnsi="Times New Roman" w:cs="Times New Roman"/>
          <w:b/>
          <w:color w:val="auto"/>
          <w:sz w:val="28"/>
        </w:rPr>
        <w:t>Evolution selon le niveau d’éducation et statut de pauvreté</w:t>
      </w:r>
      <w:bookmarkEnd w:id="21"/>
      <w:r w:rsidRPr="006973B5">
        <w:rPr>
          <w:rFonts w:ascii="Times New Roman" w:hAnsi="Times New Roman" w:cs="Times New Roman"/>
          <w:b/>
          <w:color w:val="auto"/>
          <w:sz w:val="28"/>
        </w:rPr>
        <w:t xml:space="preserve"> </w:t>
      </w:r>
    </w:p>
    <w:p w:rsidR="00681732" w:rsidRPr="006973B5" w:rsidRDefault="00681732" w:rsidP="00E85A3B">
      <w:pPr>
        <w:spacing w:after="0"/>
        <w:rPr>
          <w:rFonts w:ascii="Times New Roman" w:hAnsi="Times New Roman" w:cs="Times New Roman"/>
          <w:bCs/>
          <w:iCs/>
          <w:sz w:val="20"/>
          <w:szCs w:val="20"/>
        </w:rPr>
      </w:pPr>
    </w:p>
    <w:p w:rsidR="00F10C85" w:rsidRPr="006973B5" w:rsidRDefault="000B5978" w:rsidP="0001067E">
      <w:pPr>
        <w:spacing w:after="0"/>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L’analyse du tableau 4, un taux d’emploi plus élevé chez les jeunes qui n’ont </w:t>
      </w:r>
      <w:r w:rsidR="00A74B14" w:rsidRPr="006973B5">
        <w:rPr>
          <w:rFonts w:ascii="Times New Roman" w:hAnsi="Times New Roman" w:cs="Times New Roman"/>
          <w:bCs/>
          <w:iCs/>
          <w:sz w:val="24"/>
          <w:szCs w:val="20"/>
        </w:rPr>
        <w:t xml:space="preserve">aucun </w:t>
      </w:r>
      <w:r w:rsidRPr="006973B5">
        <w:rPr>
          <w:rFonts w:ascii="Times New Roman" w:hAnsi="Times New Roman" w:cs="Times New Roman"/>
          <w:bCs/>
          <w:iCs/>
          <w:sz w:val="24"/>
          <w:szCs w:val="20"/>
        </w:rPr>
        <w:t>niveau de d’éducation, suivi de ceux ayant le niveau primaire. I</w:t>
      </w:r>
      <w:r w:rsidR="00F07895" w:rsidRPr="006973B5">
        <w:rPr>
          <w:rFonts w:ascii="Times New Roman" w:hAnsi="Times New Roman" w:cs="Times New Roman"/>
          <w:bCs/>
          <w:iCs/>
          <w:sz w:val="24"/>
          <w:szCs w:val="20"/>
        </w:rPr>
        <w:t>l</w:t>
      </w:r>
      <w:r w:rsidRPr="006973B5">
        <w:rPr>
          <w:rFonts w:ascii="Times New Roman" w:hAnsi="Times New Roman" w:cs="Times New Roman"/>
          <w:bCs/>
          <w:iCs/>
          <w:sz w:val="24"/>
          <w:szCs w:val="20"/>
        </w:rPr>
        <w:t xml:space="preserve"> est faible (en dessous de la </w:t>
      </w:r>
      <w:r w:rsidR="0001067E" w:rsidRPr="006973B5">
        <w:rPr>
          <w:rFonts w:ascii="Times New Roman" w:hAnsi="Times New Roman" w:cs="Times New Roman"/>
          <w:bCs/>
          <w:iCs/>
          <w:sz w:val="24"/>
          <w:szCs w:val="20"/>
        </w:rPr>
        <w:t>moyenne) chez</w:t>
      </w:r>
      <w:r w:rsidRPr="006973B5">
        <w:rPr>
          <w:rFonts w:ascii="Times New Roman" w:hAnsi="Times New Roman" w:cs="Times New Roman"/>
          <w:bCs/>
          <w:iCs/>
          <w:sz w:val="24"/>
          <w:szCs w:val="20"/>
        </w:rPr>
        <w:t xml:space="preserve"> les jeunes ayant le niveau d’éducation secondaire et supérieur</w:t>
      </w:r>
      <w:r w:rsidR="00F07895" w:rsidRPr="006973B5">
        <w:rPr>
          <w:rFonts w:ascii="Times New Roman" w:hAnsi="Times New Roman" w:cs="Times New Roman"/>
          <w:bCs/>
          <w:iCs/>
          <w:sz w:val="24"/>
          <w:szCs w:val="20"/>
        </w:rPr>
        <w:t xml:space="preserve">. </w:t>
      </w:r>
      <w:r w:rsidR="00A74B14" w:rsidRPr="006973B5">
        <w:rPr>
          <w:rFonts w:ascii="Times New Roman" w:hAnsi="Times New Roman" w:cs="Times New Roman"/>
          <w:bCs/>
          <w:iCs/>
          <w:sz w:val="24"/>
          <w:szCs w:val="20"/>
        </w:rPr>
        <w:t>Ce même constat se dégage de 2013 à 2017.</w:t>
      </w:r>
      <w:r w:rsidR="00514615" w:rsidRPr="006973B5">
        <w:rPr>
          <w:rFonts w:ascii="Times New Roman" w:hAnsi="Times New Roman" w:cs="Times New Roman"/>
          <w:bCs/>
          <w:iCs/>
          <w:sz w:val="24"/>
          <w:szCs w:val="20"/>
        </w:rPr>
        <w:t xml:space="preserve"> Nous constatons également que le taux d’emploi des jeunes issus de ménage pauvre a été nettement supérieur à celui des jeunes issus de ménage non pauvre de 2013 à 2014. Cette tendance a été renversée de 201</w:t>
      </w:r>
      <w:r w:rsidR="008A4CB8" w:rsidRPr="006973B5">
        <w:rPr>
          <w:rFonts w:ascii="Times New Roman" w:hAnsi="Times New Roman" w:cs="Times New Roman"/>
          <w:bCs/>
          <w:iCs/>
          <w:sz w:val="24"/>
          <w:szCs w:val="20"/>
        </w:rPr>
        <w:t>5</w:t>
      </w:r>
      <w:r w:rsidR="00514615" w:rsidRPr="006973B5">
        <w:rPr>
          <w:rFonts w:ascii="Times New Roman" w:hAnsi="Times New Roman" w:cs="Times New Roman"/>
          <w:bCs/>
          <w:iCs/>
          <w:sz w:val="24"/>
          <w:szCs w:val="20"/>
        </w:rPr>
        <w:t xml:space="preserve"> à 2016.</w:t>
      </w:r>
    </w:p>
    <w:p w:rsidR="00514615" w:rsidRPr="006973B5" w:rsidRDefault="00514615" w:rsidP="0001067E">
      <w:pPr>
        <w:spacing w:after="0"/>
        <w:jc w:val="both"/>
        <w:rPr>
          <w:rFonts w:ascii="Times New Roman" w:hAnsi="Times New Roman" w:cs="Times New Roman"/>
          <w:bCs/>
          <w:iCs/>
          <w:sz w:val="20"/>
          <w:szCs w:val="20"/>
        </w:rPr>
      </w:pPr>
    </w:p>
    <w:p w:rsidR="00514615" w:rsidRPr="006973B5" w:rsidRDefault="008A4CB8" w:rsidP="00157644">
      <w:pPr>
        <w:spacing w:after="0"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Nous constatons également que les jeunes qui ont un niveau d’éducation élevé (secondaire et supérieur) sont plus </w:t>
      </w:r>
      <w:r w:rsidR="00AD3E3E" w:rsidRPr="006973B5">
        <w:rPr>
          <w:rFonts w:ascii="Times New Roman" w:hAnsi="Times New Roman" w:cs="Times New Roman"/>
          <w:bCs/>
          <w:iCs/>
          <w:sz w:val="24"/>
          <w:szCs w:val="20"/>
        </w:rPr>
        <w:t>touchés</w:t>
      </w:r>
      <w:r w:rsidR="00B43340" w:rsidRPr="006973B5">
        <w:rPr>
          <w:rFonts w:ascii="Times New Roman" w:hAnsi="Times New Roman" w:cs="Times New Roman"/>
          <w:bCs/>
          <w:iCs/>
          <w:sz w:val="24"/>
          <w:szCs w:val="20"/>
        </w:rPr>
        <w:t xml:space="preserve"> par le sous</w:t>
      </w:r>
      <w:r w:rsidRPr="006973B5">
        <w:rPr>
          <w:rFonts w:ascii="Times New Roman" w:hAnsi="Times New Roman" w:cs="Times New Roman"/>
          <w:bCs/>
          <w:iCs/>
          <w:sz w:val="24"/>
          <w:szCs w:val="20"/>
        </w:rPr>
        <w:t xml:space="preserve">-emploi que ceux </w:t>
      </w:r>
      <w:r w:rsidR="00B43340" w:rsidRPr="006973B5">
        <w:rPr>
          <w:rFonts w:ascii="Times New Roman" w:hAnsi="Times New Roman" w:cs="Times New Roman"/>
          <w:bCs/>
          <w:iCs/>
          <w:sz w:val="24"/>
          <w:szCs w:val="20"/>
        </w:rPr>
        <w:t xml:space="preserve">qui n’ont aucun niveau ou </w:t>
      </w:r>
      <w:r w:rsidR="00DA5852" w:rsidRPr="006973B5">
        <w:rPr>
          <w:rFonts w:ascii="Times New Roman" w:hAnsi="Times New Roman" w:cs="Times New Roman"/>
          <w:bCs/>
          <w:iCs/>
          <w:sz w:val="24"/>
          <w:szCs w:val="20"/>
        </w:rPr>
        <w:t xml:space="preserve">qui ont le niveau primaire. Effet, ces derniers sont généralement disposés à exercer </w:t>
      </w:r>
      <w:r w:rsidR="00AD3E3E" w:rsidRPr="006973B5">
        <w:rPr>
          <w:rFonts w:ascii="Times New Roman" w:hAnsi="Times New Roman" w:cs="Times New Roman"/>
          <w:bCs/>
          <w:iCs/>
          <w:sz w:val="24"/>
          <w:szCs w:val="20"/>
        </w:rPr>
        <w:t>toute</w:t>
      </w:r>
      <w:r w:rsidR="00DA5852" w:rsidRPr="006973B5">
        <w:rPr>
          <w:rFonts w:ascii="Times New Roman" w:hAnsi="Times New Roman" w:cs="Times New Roman"/>
          <w:bCs/>
          <w:iCs/>
          <w:sz w:val="24"/>
          <w:szCs w:val="20"/>
        </w:rPr>
        <w:t xml:space="preserve"> sorte d’emploi tout précaire. Par contre ceux qui ont des niveaux d’études assez élevé ou des diplômés ont tendance à rechercher des emplois qui correspond en général à leur profil de formation ou à travailler dans des structures formelles (Administration, e</w:t>
      </w:r>
      <w:r w:rsidR="0009735E" w:rsidRPr="006973B5">
        <w:rPr>
          <w:rFonts w:ascii="Times New Roman" w:hAnsi="Times New Roman" w:cs="Times New Roman"/>
          <w:bCs/>
          <w:iCs/>
          <w:sz w:val="24"/>
          <w:szCs w:val="20"/>
        </w:rPr>
        <w:t>ntreprises formelles, ONG, etc.).</w:t>
      </w:r>
      <w:r w:rsidRPr="006973B5">
        <w:rPr>
          <w:rFonts w:ascii="Times New Roman" w:hAnsi="Times New Roman" w:cs="Times New Roman"/>
          <w:bCs/>
          <w:iCs/>
          <w:sz w:val="24"/>
          <w:szCs w:val="20"/>
        </w:rPr>
        <w:t xml:space="preserve"> </w:t>
      </w:r>
    </w:p>
    <w:p w:rsidR="007B693B" w:rsidRPr="006973B5" w:rsidRDefault="007B693B" w:rsidP="0001067E">
      <w:pPr>
        <w:spacing w:after="0"/>
        <w:jc w:val="both"/>
        <w:rPr>
          <w:rFonts w:ascii="Times New Roman" w:hAnsi="Times New Roman" w:cs="Times New Roman"/>
          <w:bCs/>
          <w:iCs/>
          <w:sz w:val="24"/>
          <w:szCs w:val="20"/>
        </w:rPr>
      </w:pPr>
    </w:p>
    <w:p w:rsidR="00211B05" w:rsidRPr="006973B5" w:rsidRDefault="00211B05" w:rsidP="00211B05">
      <w:pPr>
        <w:pStyle w:val="Lgende"/>
        <w:spacing w:after="0"/>
        <w:jc w:val="both"/>
        <w:rPr>
          <w:color w:val="auto"/>
          <w:sz w:val="20"/>
        </w:rPr>
      </w:pPr>
      <w:bookmarkStart w:id="22" w:name="_Toc516676456"/>
      <w:r w:rsidRPr="006973B5">
        <w:rPr>
          <w:color w:val="auto"/>
          <w:sz w:val="20"/>
        </w:rPr>
        <w:t xml:space="preserve">Tableau </w:t>
      </w:r>
      <w:r w:rsidRPr="006973B5">
        <w:rPr>
          <w:color w:val="auto"/>
          <w:sz w:val="20"/>
        </w:rPr>
        <w:fldChar w:fldCharType="begin"/>
      </w:r>
      <w:r w:rsidRPr="006973B5">
        <w:rPr>
          <w:color w:val="auto"/>
          <w:sz w:val="20"/>
        </w:rPr>
        <w:instrText xml:space="preserve"> SEQ Tableau \* ARABIC </w:instrText>
      </w:r>
      <w:r w:rsidRPr="006973B5">
        <w:rPr>
          <w:color w:val="auto"/>
          <w:sz w:val="20"/>
        </w:rPr>
        <w:fldChar w:fldCharType="separate"/>
      </w:r>
      <w:r w:rsidRPr="006973B5">
        <w:rPr>
          <w:noProof/>
          <w:color w:val="auto"/>
          <w:sz w:val="20"/>
        </w:rPr>
        <w:t>4</w:t>
      </w:r>
      <w:r w:rsidRPr="006973B5">
        <w:rPr>
          <w:color w:val="auto"/>
          <w:sz w:val="20"/>
        </w:rPr>
        <w:fldChar w:fldCharType="end"/>
      </w:r>
      <w:r w:rsidRPr="006973B5">
        <w:rPr>
          <w:color w:val="auto"/>
          <w:sz w:val="20"/>
        </w:rPr>
        <w:t>.Eévolution du taux de chômage et du taux de sous-emploi (en%) de 2013 à 2017</w:t>
      </w:r>
      <w:bookmarkEnd w:id="22"/>
    </w:p>
    <w:tbl>
      <w:tblPr>
        <w:tblW w:w="10538" w:type="dxa"/>
        <w:jc w:val="center"/>
        <w:tblCellMar>
          <w:left w:w="70" w:type="dxa"/>
          <w:right w:w="70" w:type="dxa"/>
        </w:tblCellMar>
        <w:tblLook w:val="04A0" w:firstRow="1" w:lastRow="0" w:firstColumn="1" w:lastColumn="0" w:noHBand="0" w:noVBand="1"/>
      </w:tblPr>
      <w:tblGrid>
        <w:gridCol w:w="1086"/>
        <w:gridCol w:w="1118"/>
        <w:gridCol w:w="857"/>
        <w:gridCol w:w="908"/>
        <w:gridCol w:w="694"/>
        <w:gridCol w:w="866"/>
        <w:gridCol w:w="832"/>
        <w:gridCol w:w="696"/>
        <w:gridCol w:w="857"/>
        <w:gridCol w:w="861"/>
        <w:gridCol w:w="832"/>
        <w:gridCol w:w="931"/>
      </w:tblGrid>
      <w:tr w:rsidR="00396CA8" w:rsidRPr="006973B5" w:rsidTr="00AD3E3E">
        <w:trPr>
          <w:trHeight w:val="187"/>
          <w:jc w:val="center"/>
        </w:trPr>
        <w:tc>
          <w:tcPr>
            <w:tcW w:w="1086" w:type="dxa"/>
            <w:tcBorders>
              <w:top w:val="single" w:sz="12" w:space="0" w:color="538135" w:themeColor="accent6" w:themeShade="BF"/>
              <w:bottom w:val="single" w:sz="12" w:space="0" w:color="538135" w:themeColor="accent6" w:themeShade="BF"/>
            </w:tcBorders>
            <w:shd w:val="clear" w:color="auto" w:fill="auto"/>
            <w:noWrap/>
            <w:vAlign w:val="bottom"/>
            <w:hideMark/>
          </w:tcPr>
          <w:p w:rsidR="00396CA8" w:rsidRPr="006973B5" w:rsidRDefault="00396CA8" w:rsidP="00396CA8">
            <w:pPr>
              <w:spacing w:after="0" w:line="240" w:lineRule="auto"/>
              <w:rPr>
                <w:rFonts w:ascii="Calibri" w:eastAsia="Times New Roman" w:hAnsi="Calibri" w:cs="Calibri"/>
                <w:color w:val="000000"/>
                <w:sz w:val="20"/>
                <w:szCs w:val="20"/>
                <w:lang w:eastAsia="fr-FR"/>
              </w:rPr>
            </w:pPr>
            <w:r w:rsidRPr="006973B5">
              <w:rPr>
                <w:rFonts w:ascii="Calibri" w:eastAsia="Times New Roman" w:hAnsi="Calibri" w:cs="Calibri"/>
                <w:color w:val="000000"/>
                <w:sz w:val="20"/>
                <w:szCs w:val="20"/>
                <w:lang w:eastAsia="fr-FR"/>
              </w:rPr>
              <w:t> </w:t>
            </w:r>
          </w:p>
        </w:tc>
        <w:tc>
          <w:tcPr>
            <w:tcW w:w="1118" w:type="dxa"/>
            <w:tcBorders>
              <w:top w:val="single" w:sz="12" w:space="0" w:color="538135" w:themeColor="accent6" w:themeShade="BF"/>
              <w:bottom w:val="single" w:sz="12" w:space="0" w:color="538135" w:themeColor="accent6" w:themeShade="BF"/>
            </w:tcBorders>
            <w:shd w:val="clear" w:color="auto" w:fill="auto"/>
            <w:noWrap/>
            <w:vAlign w:val="bottom"/>
            <w:hideMark/>
          </w:tcPr>
          <w:p w:rsidR="00396CA8" w:rsidRPr="006973B5" w:rsidRDefault="00396CA8" w:rsidP="00396CA8">
            <w:pPr>
              <w:spacing w:after="0" w:line="240" w:lineRule="auto"/>
              <w:rPr>
                <w:rFonts w:ascii="Calibri" w:eastAsia="Times New Roman" w:hAnsi="Calibri" w:cs="Calibri"/>
                <w:color w:val="000000"/>
                <w:sz w:val="20"/>
                <w:szCs w:val="20"/>
                <w:lang w:eastAsia="fr-FR"/>
              </w:rPr>
            </w:pPr>
            <w:r w:rsidRPr="006973B5">
              <w:rPr>
                <w:rFonts w:ascii="Calibri" w:eastAsia="Times New Roman" w:hAnsi="Calibri" w:cs="Calibri"/>
                <w:color w:val="000000"/>
                <w:sz w:val="20"/>
                <w:szCs w:val="20"/>
                <w:lang w:eastAsia="fr-FR"/>
              </w:rPr>
              <w:t> </w:t>
            </w:r>
          </w:p>
        </w:tc>
        <w:tc>
          <w:tcPr>
            <w:tcW w:w="1765" w:type="dxa"/>
            <w:gridSpan w:val="2"/>
            <w:tcBorders>
              <w:top w:val="single" w:sz="12" w:space="0" w:color="538135" w:themeColor="accent6" w:themeShade="BF"/>
              <w:bottom w:val="single" w:sz="12" w:space="0" w:color="538135" w:themeColor="accent6" w:themeShade="BF"/>
            </w:tcBorders>
            <w:shd w:val="clear" w:color="auto" w:fill="auto"/>
            <w:noWrap/>
            <w:vAlign w:val="bottom"/>
            <w:hideMark/>
          </w:tcPr>
          <w:p w:rsidR="00396CA8" w:rsidRPr="006973B5" w:rsidRDefault="00396CA8" w:rsidP="00396CA8">
            <w:pPr>
              <w:spacing w:after="0" w:line="240" w:lineRule="auto"/>
              <w:jc w:val="center"/>
              <w:rPr>
                <w:rFonts w:ascii="Calibri" w:eastAsia="Times New Roman" w:hAnsi="Calibri" w:cs="Calibri"/>
                <w:color w:val="000000"/>
                <w:sz w:val="20"/>
                <w:szCs w:val="20"/>
                <w:lang w:eastAsia="fr-FR"/>
              </w:rPr>
            </w:pPr>
            <w:r w:rsidRPr="006973B5">
              <w:rPr>
                <w:rFonts w:ascii="Calibri" w:eastAsia="Times New Roman" w:hAnsi="Calibri" w:cs="Calibri"/>
                <w:color w:val="000000"/>
                <w:sz w:val="20"/>
                <w:szCs w:val="20"/>
                <w:lang w:eastAsia="fr-FR"/>
              </w:rPr>
              <w:t>2013</w:t>
            </w:r>
          </w:p>
        </w:tc>
        <w:tc>
          <w:tcPr>
            <w:tcW w:w="1560" w:type="dxa"/>
            <w:gridSpan w:val="2"/>
            <w:tcBorders>
              <w:top w:val="single" w:sz="12" w:space="0" w:color="538135" w:themeColor="accent6" w:themeShade="BF"/>
              <w:bottom w:val="single" w:sz="12" w:space="0" w:color="538135" w:themeColor="accent6" w:themeShade="BF"/>
            </w:tcBorders>
            <w:shd w:val="clear" w:color="auto" w:fill="auto"/>
            <w:noWrap/>
            <w:vAlign w:val="bottom"/>
            <w:hideMark/>
          </w:tcPr>
          <w:p w:rsidR="00396CA8" w:rsidRPr="006973B5" w:rsidRDefault="00396CA8" w:rsidP="00396CA8">
            <w:pPr>
              <w:spacing w:after="0" w:line="240" w:lineRule="auto"/>
              <w:jc w:val="center"/>
              <w:rPr>
                <w:rFonts w:ascii="Calibri" w:eastAsia="Times New Roman" w:hAnsi="Calibri" w:cs="Calibri"/>
                <w:color w:val="000000"/>
                <w:sz w:val="20"/>
                <w:szCs w:val="20"/>
                <w:lang w:eastAsia="fr-FR"/>
              </w:rPr>
            </w:pPr>
            <w:r w:rsidRPr="006973B5">
              <w:rPr>
                <w:rFonts w:ascii="Calibri" w:eastAsia="Times New Roman" w:hAnsi="Calibri" w:cs="Calibri"/>
                <w:color w:val="000000"/>
                <w:sz w:val="20"/>
                <w:szCs w:val="20"/>
                <w:lang w:eastAsia="fr-FR"/>
              </w:rPr>
              <w:t>2014</w:t>
            </w:r>
          </w:p>
        </w:tc>
        <w:tc>
          <w:tcPr>
            <w:tcW w:w="1528" w:type="dxa"/>
            <w:gridSpan w:val="2"/>
            <w:tcBorders>
              <w:top w:val="single" w:sz="12" w:space="0" w:color="538135" w:themeColor="accent6" w:themeShade="BF"/>
              <w:bottom w:val="single" w:sz="12" w:space="0" w:color="538135" w:themeColor="accent6" w:themeShade="BF"/>
            </w:tcBorders>
            <w:shd w:val="clear" w:color="auto" w:fill="auto"/>
            <w:noWrap/>
            <w:vAlign w:val="bottom"/>
            <w:hideMark/>
          </w:tcPr>
          <w:p w:rsidR="00396CA8" w:rsidRPr="006973B5" w:rsidRDefault="00396CA8" w:rsidP="00396CA8">
            <w:pPr>
              <w:spacing w:after="0" w:line="240" w:lineRule="auto"/>
              <w:jc w:val="center"/>
              <w:rPr>
                <w:rFonts w:ascii="Calibri" w:eastAsia="Times New Roman" w:hAnsi="Calibri" w:cs="Calibri"/>
                <w:color w:val="000000"/>
                <w:sz w:val="20"/>
                <w:szCs w:val="20"/>
                <w:lang w:eastAsia="fr-FR"/>
              </w:rPr>
            </w:pPr>
            <w:r w:rsidRPr="006973B5">
              <w:rPr>
                <w:rFonts w:ascii="Calibri" w:eastAsia="Times New Roman" w:hAnsi="Calibri" w:cs="Calibri"/>
                <w:color w:val="000000"/>
                <w:sz w:val="20"/>
                <w:szCs w:val="20"/>
                <w:lang w:eastAsia="fr-FR"/>
              </w:rPr>
              <w:t>2015</w:t>
            </w:r>
          </w:p>
        </w:tc>
        <w:tc>
          <w:tcPr>
            <w:tcW w:w="1718" w:type="dxa"/>
            <w:gridSpan w:val="2"/>
            <w:tcBorders>
              <w:top w:val="single" w:sz="12" w:space="0" w:color="538135" w:themeColor="accent6" w:themeShade="BF"/>
              <w:bottom w:val="single" w:sz="12" w:space="0" w:color="538135" w:themeColor="accent6" w:themeShade="BF"/>
            </w:tcBorders>
            <w:shd w:val="clear" w:color="auto" w:fill="auto"/>
            <w:noWrap/>
            <w:vAlign w:val="bottom"/>
            <w:hideMark/>
          </w:tcPr>
          <w:p w:rsidR="00396CA8" w:rsidRPr="006973B5" w:rsidRDefault="00396CA8" w:rsidP="00396CA8">
            <w:pPr>
              <w:spacing w:after="0" w:line="240" w:lineRule="auto"/>
              <w:jc w:val="center"/>
              <w:rPr>
                <w:rFonts w:ascii="Calibri" w:eastAsia="Times New Roman" w:hAnsi="Calibri" w:cs="Calibri"/>
                <w:color w:val="000000"/>
                <w:sz w:val="20"/>
                <w:szCs w:val="20"/>
                <w:lang w:eastAsia="fr-FR"/>
              </w:rPr>
            </w:pPr>
            <w:r w:rsidRPr="006973B5">
              <w:rPr>
                <w:rFonts w:ascii="Calibri" w:eastAsia="Times New Roman" w:hAnsi="Calibri" w:cs="Calibri"/>
                <w:color w:val="000000"/>
                <w:sz w:val="20"/>
                <w:szCs w:val="20"/>
                <w:lang w:eastAsia="fr-FR"/>
              </w:rPr>
              <w:t>2016</w:t>
            </w:r>
          </w:p>
        </w:tc>
        <w:tc>
          <w:tcPr>
            <w:tcW w:w="1763" w:type="dxa"/>
            <w:gridSpan w:val="2"/>
            <w:tcBorders>
              <w:top w:val="single" w:sz="12" w:space="0" w:color="538135" w:themeColor="accent6" w:themeShade="BF"/>
              <w:bottom w:val="single" w:sz="12" w:space="0" w:color="538135" w:themeColor="accent6" w:themeShade="BF"/>
            </w:tcBorders>
            <w:shd w:val="clear" w:color="auto" w:fill="auto"/>
            <w:noWrap/>
            <w:vAlign w:val="bottom"/>
            <w:hideMark/>
          </w:tcPr>
          <w:p w:rsidR="00396CA8" w:rsidRPr="006973B5" w:rsidRDefault="00396CA8" w:rsidP="00396CA8">
            <w:pPr>
              <w:spacing w:after="0" w:line="240" w:lineRule="auto"/>
              <w:jc w:val="center"/>
              <w:rPr>
                <w:rFonts w:ascii="Calibri" w:eastAsia="Times New Roman" w:hAnsi="Calibri" w:cs="Calibri"/>
                <w:color w:val="000000"/>
                <w:sz w:val="20"/>
                <w:szCs w:val="20"/>
                <w:lang w:eastAsia="fr-FR"/>
              </w:rPr>
            </w:pPr>
            <w:r w:rsidRPr="006973B5">
              <w:rPr>
                <w:rFonts w:ascii="Calibri" w:eastAsia="Times New Roman" w:hAnsi="Calibri" w:cs="Calibri"/>
                <w:color w:val="000000"/>
                <w:sz w:val="20"/>
                <w:szCs w:val="20"/>
                <w:lang w:eastAsia="fr-FR"/>
              </w:rPr>
              <w:t>2017</w:t>
            </w:r>
          </w:p>
        </w:tc>
      </w:tr>
      <w:tr w:rsidR="00396CA8" w:rsidRPr="006973B5" w:rsidTr="00AD3E3E">
        <w:trPr>
          <w:trHeight w:val="425"/>
          <w:jc w:val="center"/>
        </w:trPr>
        <w:tc>
          <w:tcPr>
            <w:tcW w:w="1086" w:type="dxa"/>
            <w:tcBorders>
              <w:top w:val="single" w:sz="12" w:space="0" w:color="538135" w:themeColor="accent6" w:themeShade="BF"/>
              <w:bottom w:val="single" w:sz="12" w:space="0" w:color="538135" w:themeColor="accent6" w:themeShade="BF"/>
            </w:tcBorders>
            <w:shd w:val="clear" w:color="auto" w:fill="auto"/>
            <w:noWrap/>
            <w:vAlign w:val="bottom"/>
            <w:hideMark/>
          </w:tcPr>
          <w:p w:rsidR="00396CA8" w:rsidRPr="006973B5" w:rsidRDefault="00396CA8" w:rsidP="00396CA8">
            <w:pPr>
              <w:spacing w:after="0" w:line="240" w:lineRule="auto"/>
              <w:rPr>
                <w:rFonts w:ascii="Calibri" w:eastAsia="Times New Roman" w:hAnsi="Calibri" w:cs="Calibri"/>
                <w:color w:val="000000"/>
                <w:sz w:val="16"/>
                <w:szCs w:val="20"/>
                <w:lang w:eastAsia="fr-FR"/>
              </w:rPr>
            </w:pPr>
            <w:r w:rsidRPr="006973B5">
              <w:rPr>
                <w:rFonts w:ascii="Calibri" w:eastAsia="Times New Roman" w:hAnsi="Calibri" w:cs="Calibri"/>
                <w:color w:val="000000"/>
                <w:sz w:val="16"/>
                <w:szCs w:val="20"/>
                <w:lang w:eastAsia="fr-FR"/>
              </w:rPr>
              <w:t> </w:t>
            </w:r>
          </w:p>
        </w:tc>
        <w:tc>
          <w:tcPr>
            <w:tcW w:w="1118" w:type="dxa"/>
            <w:tcBorders>
              <w:top w:val="single" w:sz="12" w:space="0" w:color="538135" w:themeColor="accent6" w:themeShade="BF"/>
              <w:bottom w:val="single" w:sz="12" w:space="0" w:color="538135" w:themeColor="accent6" w:themeShade="BF"/>
            </w:tcBorders>
            <w:shd w:val="clear" w:color="auto" w:fill="auto"/>
            <w:noWrap/>
            <w:vAlign w:val="bottom"/>
            <w:hideMark/>
          </w:tcPr>
          <w:p w:rsidR="00396CA8" w:rsidRPr="006973B5" w:rsidRDefault="00396CA8" w:rsidP="00396CA8">
            <w:pPr>
              <w:spacing w:after="0" w:line="240" w:lineRule="auto"/>
              <w:rPr>
                <w:rFonts w:ascii="Calibri" w:eastAsia="Times New Roman" w:hAnsi="Calibri" w:cs="Calibri"/>
                <w:color w:val="000000"/>
                <w:sz w:val="16"/>
                <w:szCs w:val="20"/>
                <w:lang w:eastAsia="fr-FR"/>
              </w:rPr>
            </w:pPr>
            <w:r w:rsidRPr="006973B5">
              <w:rPr>
                <w:rFonts w:ascii="Calibri" w:eastAsia="Times New Roman" w:hAnsi="Calibri" w:cs="Calibri"/>
                <w:color w:val="000000"/>
                <w:sz w:val="16"/>
                <w:szCs w:val="20"/>
                <w:lang w:eastAsia="fr-FR"/>
              </w:rPr>
              <w:t> </w:t>
            </w:r>
          </w:p>
        </w:tc>
        <w:tc>
          <w:tcPr>
            <w:tcW w:w="857" w:type="dxa"/>
            <w:tcBorders>
              <w:top w:val="single" w:sz="12" w:space="0" w:color="538135" w:themeColor="accent6" w:themeShade="BF"/>
              <w:bottom w:val="single" w:sz="12" w:space="0" w:color="538135" w:themeColor="accent6" w:themeShade="BF"/>
            </w:tcBorders>
            <w:shd w:val="clear" w:color="auto" w:fill="auto"/>
            <w:vAlign w:val="center"/>
            <w:hideMark/>
          </w:tcPr>
          <w:p w:rsidR="00396CA8" w:rsidRPr="006973B5" w:rsidRDefault="00396CA8" w:rsidP="00396CA8">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d'emploi</w:t>
            </w:r>
          </w:p>
        </w:tc>
        <w:tc>
          <w:tcPr>
            <w:tcW w:w="908" w:type="dxa"/>
            <w:tcBorders>
              <w:top w:val="single" w:sz="12" w:space="0" w:color="538135" w:themeColor="accent6" w:themeShade="BF"/>
              <w:bottom w:val="single" w:sz="12" w:space="0" w:color="538135" w:themeColor="accent6" w:themeShade="BF"/>
            </w:tcBorders>
            <w:shd w:val="clear" w:color="auto" w:fill="auto"/>
            <w:vAlign w:val="center"/>
            <w:hideMark/>
          </w:tcPr>
          <w:p w:rsidR="00396CA8" w:rsidRPr="006973B5" w:rsidRDefault="00396CA8" w:rsidP="00396CA8">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de sous-emploi</w:t>
            </w:r>
          </w:p>
        </w:tc>
        <w:tc>
          <w:tcPr>
            <w:tcW w:w="694" w:type="dxa"/>
            <w:tcBorders>
              <w:top w:val="single" w:sz="12" w:space="0" w:color="538135" w:themeColor="accent6" w:themeShade="BF"/>
              <w:bottom w:val="single" w:sz="12" w:space="0" w:color="538135" w:themeColor="accent6" w:themeShade="BF"/>
            </w:tcBorders>
            <w:shd w:val="clear" w:color="auto" w:fill="auto"/>
            <w:vAlign w:val="center"/>
            <w:hideMark/>
          </w:tcPr>
          <w:p w:rsidR="00396CA8" w:rsidRPr="006973B5" w:rsidRDefault="00396CA8" w:rsidP="00396CA8">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d'emploi</w:t>
            </w:r>
          </w:p>
        </w:tc>
        <w:tc>
          <w:tcPr>
            <w:tcW w:w="866" w:type="dxa"/>
            <w:tcBorders>
              <w:top w:val="single" w:sz="12" w:space="0" w:color="538135" w:themeColor="accent6" w:themeShade="BF"/>
              <w:bottom w:val="single" w:sz="12" w:space="0" w:color="538135" w:themeColor="accent6" w:themeShade="BF"/>
            </w:tcBorders>
            <w:shd w:val="clear" w:color="auto" w:fill="auto"/>
            <w:vAlign w:val="center"/>
            <w:hideMark/>
          </w:tcPr>
          <w:p w:rsidR="00396CA8" w:rsidRPr="006973B5" w:rsidRDefault="00396CA8" w:rsidP="00396CA8">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de sous-emploi</w:t>
            </w:r>
          </w:p>
        </w:tc>
        <w:tc>
          <w:tcPr>
            <w:tcW w:w="832" w:type="dxa"/>
            <w:tcBorders>
              <w:top w:val="single" w:sz="12" w:space="0" w:color="538135" w:themeColor="accent6" w:themeShade="BF"/>
              <w:bottom w:val="single" w:sz="12" w:space="0" w:color="538135" w:themeColor="accent6" w:themeShade="BF"/>
            </w:tcBorders>
            <w:shd w:val="clear" w:color="auto" w:fill="auto"/>
            <w:vAlign w:val="center"/>
            <w:hideMark/>
          </w:tcPr>
          <w:p w:rsidR="00396CA8" w:rsidRPr="006973B5" w:rsidRDefault="00396CA8" w:rsidP="00396CA8">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d'emploi</w:t>
            </w:r>
          </w:p>
        </w:tc>
        <w:tc>
          <w:tcPr>
            <w:tcW w:w="696" w:type="dxa"/>
            <w:tcBorders>
              <w:top w:val="single" w:sz="12" w:space="0" w:color="538135" w:themeColor="accent6" w:themeShade="BF"/>
              <w:bottom w:val="single" w:sz="12" w:space="0" w:color="538135" w:themeColor="accent6" w:themeShade="BF"/>
            </w:tcBorders>
            <w:shd w:val="clear" w:color="auto" w:fill="auto"/>
            <w:vAlign w:val="center"/>
            <w:hideMark/>
          </w:tcPr>
          <w:p w:rsidR="00396CA8" w:rsidRPr="006973B5" w:rsidRDefault="00396CA8" w:rsidP="00396CA8">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de sous-emploi</w:t>
            </w:r>
          </w:p>
        </w:tc>
        <w:tc>
          <w:tcPr>
            <w:tcW w:w="857" w:type="dxa"/>
            <w:tcBorders>
              <w:top w:val="single" w:sz="12" w:space="0" w:color="538135" w:themeColor="accent6" w:themeShade="BF"/>
              <w:bottom w:val="single" w:sz="12" w:space="0" w:color="538135" w:themeColor="accent6" w:themeShade="BF"/>
            </w:tcBorders>
            <w:shd w:val="clear" w:color="auto" w:fill="auto"/>
            <w:vAlign w:val="center"/>
            <w:hideMark/>
          </w:tcPr>
          <w:p w:rsidR="00396CA8" w:rsidRPr="006973B5" w:rsidRDefault="00396CA8" w:rsidP="00396CA8">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d'emploi</w:t>
            </w:r>
          </w:p>
        </w:tc>
        <w:tc>
          <w:tcPr>
            <w:tcW w:w="861" w:type="dxa"/>
            <w:tcBorders>
              <w:top w:val="single" w:sz="12" w:space="0" w:color="538135" w:themeColor="accent6" w:themeShade="BF"/>
              <w:bottom w:val="single" w:sz="12" w:space="0" w:color="538135" w:themeColor="accent6" w:themeShade="BF"/>
            </w:tcBorders>
            <w:shd w:val="clear" w:color="auto" w:fill="auto"/>
            <w:vAlign w:val="center"/>
            <w:hideMark/>
          </w:tcPr>
          <w:p w:rsidR="00396CA8" w:rsidRPr="006973B5" w:rsidRDefault="00396CA8" w:rsidP="00396CA8">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de sous-emploi</w:t>
            </w:r>
          </w:p>
        </w:tc>
        <w:tc>
          <w:tcPr>
            <w:tcW w:w="832" w:type="dxa"/>
            <w:tcBorders>
              <w:top w:val="single" w:sz="12" w:space="0" w:color="538135" w:themeColor="accent6" w:themeShade="BF"/>
              <w:bottom w:val="single" w:sz="12" w:space="0" w:color="538135" w:themeColor="accent6" w:themeShade="BF"/>
            </w:tcBorders>
            <w:shd w:val="clear" w:color="auto" w:fill="auto"/>
            <w:vAlign w:val="center"/>
            <w:hideMark/>
          </w:tcPr>
          <w:p w:rsidR="00396CA8" w:rsidRPr="006973B5" w:rsidRDefault="00396CA8" w:rsidP="00396CA8">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d'emploi</w:t>
            </w:r>
          </w:p>
        </w:tc>
        <w:tc>
          <w:tcPr>
            <w:tcW w:w="931" w:type="dxa"/>
            <w:tcBorders>
              <w:top w:val="single" w:sz="12" w:space="0" w:color="538135" w:themeColor="accent6" w:themeShade="BF"/>
              <w:bottom w:val="single" w:sz="12" w:space="0" w:color="538135" w:themeColor="accent6" w:themeShade="BF"/>
            </w:tcBorders>
            <w:shd w:val="clear" w:color="auto" w:fill="auto"/>
            <w:vAlign w:val="center"/>
            <w:hideMark/>
          </w:tcPr>
          <w:p w:rsidR="00396CA8" w:rsidRPr="006973B5" w:rsidRDefault="00396CA8" w:rsidP="00396CA8">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de sous-emploi</w:t>
            </w:r>
          </w:p>
        </w:tc>
      </w:tr>
      <w:tr w:rsidR="00396CA8" w:rsidRPr="006973B5" w:rsidTr="00AD3E3E">
        <w:trPr>
          <w:trHeight w:val="187"/>
          <w:jc w:val="center"/>
        </w:trPr>
        <w:tc>
          <w:tcPr>
            <w:tcW w:w="1086" w:type="dxa"/>
            <w:vMerge w:val="restart"/>
            <w:tcBorders>
              <w:top w:val="single" w:sz="12" w:space="0" w:color="538135" w:themeColor="accent6" w:themeShade="BF"/>
            </w:tcBorders>
            <w:shd w:val="clear" w:color="auto" w:fill="auto"/>
            <w:vAlign w:val="center"/>
            <w:hideMark/>
          </w:tcPr>
          <w:p w:rsidR="00396CA8" w:rsidRPr="006973B5" w:rsidRDefault="00396CA8" w:rsidP="00396CA8">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Pauvreté</w:t>
            </w:r>
          </w:p>
        </w:tc>
        <w:tc>
          <w:tcPr>
            <w:tcW w:w="1118" w:type="dxa"/>
            <w:tcBorders>
              <w:top w:val="single" w:sz="12" w:space="0" w:color="538135" w:themeColor="accent6" w:themeShade="BF"/>
            </w:tcBorders>
            <w:shd w:val="clear" w:color="auto" w:fill="auto"/>
            <w:vAlign w:val="center"/>
            <w:hideMark/>
          </w:tcPr>
          <w:p w:rsidR="00396CA8" w:rsidRPr="006973B5" w:rsidRDefault="00396CA8" w:rsidP="00396CA8">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Pauvre</w:t>
            </w:r>
          </w:p>
        </w:tc>
        <w:tc>
          <w:tcPr>
            <w:tcW w:w="857" w:type="dxa"/>
            <w:tcBorders>
              <w:top w:val="single" w:sz="12" w:space="0" w:color="538135" w:themeColor="accent6" w:themeShade="BF"/>
            </w:tcBorders>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78,4</w:t>
            </w:r>
          </w:p>
        </w:tc>
        <w:tc>
          <w:tcPr>
            <w:tcW w:w="908" w:type="dxa"/>
            <w:tcBorders>
              <w:top w:val="single" w:sz="12" w:space="0" w:color="538135" w:themeColor="accent6" w:themeShade="BF"/>
            </w:tcBorders>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12</w:t>
            </w:r>
          </w:p>
        </w:tc>
        <w:tc>
          <w:tcPr>
            <w:tcW w:w="694" w:type="dxa"/>
            <w:tcBorders>
              <w:top w:val="single" w:sz="12" w:space="0" w:color="538135" w:themeColor="accent6" w:themeShade="BF"/>
            </w:tcBorders>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65</w:t>
            </w:r>
          </w:p>
        </w:tc>
        <w:tc>
          <w:tcPr>
            <w:tcW w:w="866" w:type="dxa"/>
            <w:tcBorders>
              <w:top w:val="single" w:sz="12" w:space="0" w:color="538135" w:themeColor="accent6" w:themeShade="BF"/>
            </w:tcBorders>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10,5</w:t>
            </w:r>
          </w:p>
        </w:tc>
        <w:tc>
          <w:tcPr>
            <w:tcW w:w="832" w:type="dxa"/>
            <w:tcBorders>
              <w:top w:val="single" w:sz="12" w:space="0" w:color="538135" w:themeColor="accent6" w:themeShade="BF"/>
            </w:tcBorders>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42,4</w:t>
            </w:r>
          </w:p>
        </w:tc>
        <w:tc>
          <w:tcPr>
            <w:tcW w:w="696" w:type="dxa"/>
            <w:tcBorders>
              <w:top w:val="single" w:sz="12" w:space="0" w:color="538135" w:themeColor="accent6" w:themeShade="BF"/>
            </w:tcBorders>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9,9</w:t>
            </w:r>
          </w:p>
        </w:tc>
        <w:tc>
          <w:tcPr>
            <w:tcW w:w="857" w:type="dxa"/>
            <w:tcBorders>
              <w:top w:val="single" w:sz="12" w:space="0" w:color="538135" w:themeColor="accent6" w:themeShade="BF"/>
            </w:tcBorders>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37,3</w:t>
            </w:r>
          </w:p>
        </w:tc>
        <w:tc>
          <w:tcPr>
            <w:tcW w:w="861" w:type="dxa"/>
            <w:tcBorders>
              <w:top w:val="single" w:sz="12" w:space="0" w:color="538135" w:themeColor="accent6" w:themeShade="BF"/>
            </w:tcBorders>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13,8</w:t>
            </w:r>
          </w:p>
        </w:tc>
        <w:tc>
          <w:tcPr>
            <w:tcW w:w="832" w:type="dxa"/>
            <w:tcBorders>
              <w:top w:val="single" w:sz="12" w:space="0" w:color="538135" w:themeColor="accent6" w:themeShade="BF"/>
            </w:tcBorders>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w:t>
            </w:r>
          </w:p>
        </w:tc>
        <w:tc>
          <w:tcPr>
            <w:tcW w:w="931" w:type="dxa"/>
            <w:tcBorders>
              <w:top w:val="single" w:sz="12" w:space="0" w:color="538135" w:themeColor="accent6" w:themeShade="BF"/>
            </w:tcBorders>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w:t>
            </w:r>
          </w:p>
        </w:tc>
      </w:tr>
      <w:tr w:rsidR="00396CA8" w:rsidRPr="006973B5" w:rsidTr="00AD3E3E">
        <w:trPr>
          <w:trHeight w:val="187"/>
          <w:jc w:val="center"/>
        </w:trPr>
        <w:tc>
          <w:tcPr>
            <w:tcW w:w="1086" w:type="dxa"/>
            <w:vMerge/>
            <w:vAlign w:val="center"/>
            <w:hideMark/>
          </w:tcPr>
          <w:p w:rsidR="00396CA8" w:rsidRPr="006973B5" w:rsidRDefault="00396CA8" w:rsidP="00396CA8">
            <w:pPr>
              <w:spacing w:after="0" w:line="240" w:lineRule="auto"/>
              <w:rPr>
                <w:rFonts w:ascii="Times New Roman" w:eastAsia="Times New Roman" w:hAnsi="Times New Roman" w:cs="Times New Roman"/>
                <w:color w:val="000000"/>
                <w:sz w:val="20"/>
                <w:szCs w:val="20"/>
                <w:lang w:eastAsia="fr-FR"/>
              </w:rPr>
            </w:pPr>
          </w:p>
        </w:tc>
        <w:tc>
          <w:tcPr>
            <w:tcW w:w="1118" w:type="dxa"/>
            <w:shd w:val="clear" w:color="auto" w:fill="auto"/>
            <w:vAlign w:val="center"/>
            <w:hideMark/>
          </w:tcPr>
          <w:p w:rsidR="00396CA8" w:rsidRPr="006973B5" w:rsidRDefault="00396CA8" w:rsidP="00396CA8">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Non pauvre</w:t>
            </w:r>
          </w:p>
        </w:tc>
        <w:tc>
          <w:tcPr>
            <w:tcW w:w="857"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52,1</w:t>
            </w:r>
          </w:p>
        </w:tc>
        <w:tc>
          <w:tcPr>
            <w:tcW w:w="908"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12,8</w:t>
            </w:r>
          </w:p>
        </w:tc>
        <w:tc>
          <w:tcPr>
            <w:tcW w:w="694"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48,2</w:t>
            </w:r>
          </w:p>
        </w:tc>
        <w:tc>
          <w:tcPr>
            <w:tcW w:w="866"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12,2</w:t>
            </w:r>
          </w:p>
        </w:tc>
        <w:tc>
          <w:tcPr>
            <w:tcW w:w="832"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55,6</w:t>
            </w:r>
          </w:p>
        </w:tc>
        <w:tc>
          <w:tcPr>
            <w:tcW w:w="696"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9,2</w:t>
            </w:r>
          </w:p>
        </w:tc>
        <w:tc>
          <w:tcPr>
            <w:tcW w:w="857"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50,9</w:t>
            </w:r>
          </w:p>
        </w:tc>
        <w:tc>
          <w:tcPr>
            <w:tcW w:w="861"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11,1</w:t>
            </w:r>
          </w:p>
        </w:tc>
        <w:tc>
          <w:tcPr>
            <w:tcW w:w="832"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w:t>
            </w:r>
          </w:p>
        </w:tc>
        <w:tc>
          <w:tcPr>
            <w:tcW w:w="931"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w:t>
            </w:r>
          </w:p>
        </w:tc>
      </w:tr>
      <w:tr w:rsidR="00396CA8" w:rsidRPr="006973B5" w:rsidTr="00AD3E3E">
        <w:trPr>
          <w:trHeight w:val="187"/>
          <w:jc w:val="center"/>
        </w:trPr>
        <w:tc>
          <w:tcPr>
            <w:tcW w:w="1086" w:type="dxa"/>
            <w:vMerge w:val="restart"/>
            <w:shd w:val="clear" w:color="auto" w:fill="auto"/>
            <w:vAlign w:val="center"/>
            <w:hideMark/>
          </w:tcPr>
          <w:p w:rsidR="00396CA8" w:rsidRPr="006973B5" w:rsidRDefault="00396CA8" w:rsidP="00396CA8">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Niveau d'éducation</w:t>
            </w:r>
          </w:p>
        </w:tc>
        <w:tc>
          <w:tcPr>
            <w:tcW w:w="1118" w:type="dxa"/>
            <w:shd w:val="clear" w:color="auto" w:fill="auto"/>
            <w:vAlign w:val="center"/>
            <w:hideMark/>
          </w:tcPr>
          <w:p w:rsidR="00396CA8" w:rsidRPr="006973B5" w:rsidRDefault="00396CA8" w:rsidP="00396CA8">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Aucun niveau</w:t>
            </w:r>
          </w:p>
        </w:tc>
        <w:tc>
          <w:tcPr>
            <w:tcW w:w="857"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78,4</w:t>
            </w:r>
          </w:p>
        </w:tc>
        <w:tc>
          <w:tcPr>
            <w:tcW w:w="908"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10,4</w:t>
            </w:r>
          </w:p>
        </w:tc>
        <w:tc>
          <w:tcPr>
            <w:tcW w:w="694"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71,6</w:t>
            </w:r>
          </w:p>
        </w:tc>
        <w:tc>
          <w:tcPr>
            <w:tcW w:w="866"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10,4</w:t>
            </w:r>
          </w:p>
        </w:tc>
        <w:tc>
          <w:tcPr>
            <w:tcW w:w="832"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65,1</w:t>
            </w:r>
          </w:p>
        </w:tc>
        <w:tc>
          <w:tcPr>
            <w:tcW w:w="696"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9,3</w:t>
            </w:r>
          </w:p>
        </w:tc>
        <w:tc>
          <w:tcPr>
            <w:tcW w:w="857"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56,8</w:t>
            </w:r>
          </w:p>
        </w:tc>
        <w:tc>
          <w:tcPr>
            <w:tcW w:w="861"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11,8</w:t>
            </w:r>
          </w:p>
        </w:tc>
        <w:tc>
          <w:tcPr>
            <w:tcW w:w="832"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62,8</w:t>
            </w:r>
          </w:p>
        </w:tc>
        <w:tc>
          <w:tcPr>
            <w:tcW w:w="931"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11,5</w:t>
            </w:r>
          </w:p>
        </w:tc>
      </w:tr>
      <w:tr w:rsidR="00396CA8" w:rsidRPr="006973B5" w:rsidTr="00AD3E3E">
        <w:trPr>
          <w:trHeight w:val="187"/>
          <w:jc w:val="center"/>
        </w:trPr>
        <w:tc>
          <w:tcPr>
            <w:tcW w:w="1086" w:type="dxa"/>
            <w:vMerge/>
            <w:vAlign w:val="center"/>
            <w:hideMark/>
          </w:tcPr>
          <w:p w:rsidR="00396CA8" w:rsidRPr="006973B5" w:rsidRDefault="00396CA8" w:rsidP="00396CA8">
            <w:pPr>
              <w:spacing w:after="0" w:line="240" w:lineRule="auto"/>
              <w:rPr>
                <w:rFonts w:ascii="Times New Roman" w:eastAsia="Times New Roman" w:hAnsi="Times New Roman" w:cs="Times New Roman"/>
                <w:color w:val="000000"/>
                <w:sz w:val="20"/>
                <w:szCs w:val="20"/>
                <w:lang w:eastAsia="fr-FR"/>
              </w:rPr>
            </w:pPr>
          </w:p>
        </w:tc>
        <w:tc>
          <w:tcPr>
            <w:tcW w:w="1118" w:type="dxa"/>
            <w:shd w:val="clear" w:color="auto" w:fill="auto"/>
            <w:vAlign w:val="center"/>
            <w:hideMark/>
          </w:tcPr>
          <w:p w:rsidR="00396CA8" w:rsidRPr="006973B5" w:rsidRDefault="00396CA8" w:rsidP="00396CA8">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Primaire</w:t>
            </w:r>
          </w:p>
        </w:tc>
        <w:tc>
          <w:tcPr>
            <w:tcW w:w="857"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59,2</w:t>
            </w:r>
          </w:p>
        </w:tc>
        <w:tc>
          <w:tcPr>
            <w:tcW w:w="908"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14,7</w:t>
            </w:r>
          </w:p>
        </w:tc>
        <w:tc>
          <w:tcPr>
            <w:tcW w:w="694"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40</w:t>
            </w:r>
          </w:p>
        </w:tc>
        <w:tc>
          <w:tcPr>
            <w:tcW w:w="866"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12,8</w:t>
            </w:r>
          </w:p>
        </w:tc>
        <w:tc>
          <w:tcPr>
            <w:tcW w:w="832"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35,6</w:t>
            </w:r>
          </w:p>
        </w:tc>
        <w:tc>
          <w:tcPr>
            <w:tcW w:w="696"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10,4</w:t>
            </w:r>
          </w:p>
        </w:tc>
        <w:tc>
          <w:tcPr>
            <w:tcW w:w="857"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30,1</w:t>
            </w:r>
          </w:p>
        </w:tc>
        <w:tc>
          <w:tcPr>
            <w:tcW w:w="861"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13,2</w:t>
            </w:r>
          </w:p>
        </w:tc>
        <w:tc>
          <w:tcPr>
            <w:tcW w:w="832"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34,5</w:t>
            </w:r>
          </w:p>
        </w:tc>
        <w:tc>
          <w:tcPr>
            <w:tcW w:w="931"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11,2</w:t>
            </w:r>
          </w:p>
        </w:tc>
      </w:tr>
      <w:tr w:rsidR="00396CA8" w:rsidRPr="006973B5" w:rsidTr="00AD3E3E">
        <w:trPr>
          <w:trHeight w:val="187"/>
          <w:jc w:val="center"/>
        </w:trPr>
        <w:tc>
          <w:tcPr>
            <w:tcW w:w="1086" w:type="dxa"/>
            <w:vMerge/>
            <w:vAlign w:val="center"/>
            <w:hideMark/>
          </w:tcPr>
          <w:p w:rsidR="00396CA8" w:rsidRPr="006973B5" w:rsidRDefault="00396CA8" w:rsidP="00396CA8">
            <w:pPr>
              <w:spacing w:after="0" w:line="240" w:lineRule="auto"/>
              <w:rPr>
                <w:rFonts w:ascii="Times New Roman" w:eastAsia="Times New Roman" w:hAnsi="Times New Roman" w:cs="Times New Roman"/>
                <w:color w:val="000000"/>
                <w:sz w:val="20"/>
                <w:szCs w:val="20"/>
                <w:lang w:eastAsia="fr-FR"/>
              </w:rPr>
            </w:pPr>
          </w:p>
        </w:tc>
        <w:tc>
          <w:tcPr>
            <w:tcW w:w="1118" w:type="dxa"/>
            <w:shd w:val="clear" w:color="auto" w:fill="auto"/>
            <w:vAlign w:val="center"/>
            <w:hideMark/>
          </w:tcPr>
          <w:p w:rsidR="00396CA8" w:rsidRPr="006973B5" w:rsidRDefault="00396CA8" w:rsidP="00396CA8">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Secondaire</w:t>
            </w:r>
          </w:p>
        </w:tc>
        <w:tc>
          <w:tcPr>
            <w:tcW w:w="857"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20,8</w:t>
            </w:r>
          </w:p>
        </w:tc>
        <w:tc>
          <w:tcPr>
            <w:tcW w:w="908"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25,6</w:t>
            </w:r>
          </w:p>
        </w:tc>
        <w:tc>
          <w:tcPr>
            <w:tcW w:w="694"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20,7</w:t>
            </w:r>
          </w:p>
        </w:tc>
        <w:tc>
          <w:tcPr>
            <w:tcW w:w="866"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17</w:t>
            </w:r>
          </w:p>
        </w:tc>
        <w:tc>
          <w:tcPr>
            <w:tcW w:w="832"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16,8</w:t>
            </w:r>
          </w:p>
        </w:tc>
        <w:tc>
          <w:tcPr>
            <w:tcW w:w="696"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21,1</w:t>
            </w:r>
          </w:p>
        </w:tc>
        <w:tc>
          <w:tcPr>
            <w:tcW w:w="857"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22,1</w:t>
            </w:r>
          </w:p>
        </w:tc>
        <w:tc>
          <w:tcPr>
            <w:tcW w:w="861"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22,1</w:t>
            </w:r>
          </w:p>
        </w:tc>
        <w:tc>
          <w:tcPr>
            <w:tcW w:w="832"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15,8</w:t>
            </w:r>
          </w:p>
        </w:tc>
        <w:tc>
          <w:tcPr>
            <w:tcW w:w="931"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14,4</w:t>
            </w:r>
          </w:p>
        </w:tc>
      </w:tr>
      <w:tr w:rsidR="00396CA8" w:rsidRPr="006973B5" w:rsidTr="00AD3E3E">
        <w:trPr>
          <w:trHeight w:val="187"/>
          <w:jc w:val="center"/>
        </w:trPr>
        <w:tc>
          <w:tcPr>
            <w:tcW w:w="1086" w:type="dxa"/>
            <w:vMerge/>
            <w:vAlign w:val="center"/>
            <w:hideMark/>
          </w:tcPr>
          <w:p w:rsidR="00396CA8" w:rsidRPr="006973B5" w:rsidRDefault="00396CA8" w:rsidP="00396CA8">
            <w:pPr>
              <w:spacing w:after="0" w:line="240" w:lineRule="auto"/>
              <w:rPr>
                <w:rFonts w:ascii="Times New Roman" w:eastAsia="Times New Roman" w:hAnsi="Times New Roman" w:cs="Times New Roman"/>
                <w:color w:val="000000"/>
                <w:sz w:val="20"/>
                <w:szCs w:val="20"/>
                <w:lang w:eastAsia="fr-FR"/>
              </w:rPr>
            </w:pPr>
          </w:p>
        </w:tc>
        <w:tc>
          <w:tcPr>
            <w:tcW w:w="1118" w:type="dxa"/>
            <w:shd w:val="clear" w:color="auto" w:fill="auto"/>
            <w:vAlign w:val="center"/>
            <w:hideMark/>
          </w:tcPr>
          <w:p w:rsidR="00396CA8" w:rsidRPr="006973B5" w:rsidRDefault="00396CA8" w:rsidP="00396CA8">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Supérieur</w:t>
            </w:r>
          </w:p>
        </w:tc>
        <w:tc>
          <w:tcPr>
            <w:tcW w:w="857"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20,8</w:t>
            </w:r>
          </w:p>
        </w:tc>
        <w:tc>
          <w:tcPr>
            <w:tcW w:w="908"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6,8</w:t>
            </w:r>
          </w:p>
        </w:tc>
        <w:tc>
          <w:tcPr>
            <w:tcW w:w="694"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11</w:t>
            </w:r>
          </w:p>
        </w:tc>
        <w:tc>
          <w:tcPr>
            <w:tcW w:w="866"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44,9</w:t>
            </w:r>
          </w:p>
        </w:tc>
        <w:tc>
          <w:tcPr>
            <w:tcW w:w="832"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20,9</w:t>
            </w:r>
          </w:p>
        </w:tc>
        <w:tc>
          <w:tcPr>
            <w:tcW w:w="696"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0</w:t>
            </w:r>
          </w:p>
        </w:tc>
        <w:tc>
          <w:tcPr>
            <w:tcW w:w="857"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27,8</w:t>
            </w:r>
          </w:p>
        </w:tc>
        <w:tc>
          <w:tcPr>
            <w:tcW w:w="861" w:type="dxa"/>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14,2</w:t>
            </w:r>
          </w:p>
        </w:tc>
        <w:tc>
          <w:tcPr>
            <w:tcW w:w="832"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15,1</w:t>
            </w:r>
          </w:p>
        </w:tc>
        <w:tc>
          <w:tcPr>
            <w:tcW w:w="931" w:type="dxa"/>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45</w:t>
            </w:r>
          </w:p>
        </w:tc>
      </w:tr>
      <w:tr w:rsidR="00396CA8" w:rsidRPr="006973B5" w:rsidTr="00AD3E3E">
        <w:trPr>
          <w:trHeight w:val="187"/>
          <w:jc w:val="center"/>
        </w:trPr>
        <w:tc>
          <w:tcPr>
            <w:tcW w:w="1086" w:type="dxa"/>
            <w:vMerge/>
            <w:tcBorders>
              <w:bottom w:val="single" w:sz="12" w:space="0" w:color="538135" w:themeColor="accent6" w:themeShade="BF"/>
            </w:tcBorders>
            <w:vAlign w:val="center"/>
            <w:hideMark/>
          </w:tcPr>
          <w:p w:rsidR="00396CA8" w:rsidRPr="006973B5" w:rsidRDefault="00396CA8" w:rsidP="00396CA8">
            <w:pPr>
              <w:spacing w:after="0" w:line="240" w:lineRule="auto"/>
              <w:rPr>
                <w:rFonts w:ascii="Times New Roman" w:eastAsia="Times New Roman" w:hAnsi="Times New Roman" w:cs="Times New Roman"/>
                <w:color w:val="000000"/>
                <w:sz w:val="20"/>
                <w:szCs w:val="20"/>
                <w:lang w:eastAsia="fr-FR"/>
              </w:rPr>
            </w:pPr>
          </w:p>
        </w:tc>
        <w:tc>
          <w:tcPr>
            <w:tcW w:w="1118" w:type="dxa"/>
            <w:tcBorders>
              <w:bottom w:val="single" w:sz="12" w:space="0" w:color="538135" w:themeColor="accent6" w:themeShade="BF"/>
            </w:tcBorders>
            <w:shd w:val="clear" w:color="auto" w:fill="auto"/>
            <w:vAlign w:val="center"/>
            <w:hideMark/>
          </w:tcPr>
          <w:p w:rsidR="00396CA8" w:rsidRPr="006973B5" w:rsidRDefault="00396CA8" w:rsidP="00396CA8">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Total</w:t>
            </w:r>
          </w:p>
        </w:tc>
        <w:tc>
          <w:tcPr>
            <w:tcW w:w="857" w:type="dxa"/>
            <w:tcBorders>
              <w:bottom w:val="single" w:sz="12" w:space="0" w:color="538135" w:themeColor="accent6" w:themeShade="BF"/>
            </w:tcBorders>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62,9</w:t>
            </w:r>
          </w:p>
        </w:tc>
        <w:tc>
          <w:tcPr>
            <w:tcW w:w="908" w:type="dxa"/>
            <w:tcBorders>
              <w:bottom w:val="single" w:sz="12" w:space="0" w:color="538135" w:themeColor="accent6" w:themeShade="BF"/>
            </w:tcBorders>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12,5</w:t>
            </w:r>
          </w:p>
        </w:tc>
        <w:tc>
          <w:tcPr>
            <w:tcW w:w="694" w:type="dxa"/>
            <w:tcBorders>
              <w:bottom w:val="single" w:sz="12" w:space="0" w:color="538135" w:themeColor="accent6" w:themeShade="BF"/>
            </w:tcBorders>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54,8</w:t>
            </w:r>
          </w:p>
        </w:tc>
        <w:tc>
          <w:tcPr>
            <w:tcW w:w="866" w:type="dxa"/>
            <w:tcBorders>
              <w:bottom w:val="single" w:sz="12" w:space="0" w:color="538135" w:themeColor="accent6" w:themeShade="BF"/>
            </w:tcBorders>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11,4</w:t>
            </w:r>
          </w:p>
        </w:tc>
        <w:tc>
          <w:tcPr>
            <w:tcW w:w="832" w:type="dxa"/>
            <w:tcBorders>
              <w:bottom w:val="single" w:sz="12" w:space="0" w:color="538135" w:themeColor="accent6" w:themeShade="BF"/>
            </w:tcBorders>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47,9</w:t>
            </w:r>
          </w:p>
        </w:tc>
        <w:tc>
          <w:tcPr>
            <w:tcW w:w="696" w:type="dxa"/>
            <w:tcBorders>
              <w:bottom w:val="single" w:sz="12" w:space="0" w:color="538135" w:themeColor="accent6" w:themeShade="BF"/>
            </w:tcBorders>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9,9</w:t>
            </w:r>
          </w:p>
        </w:tc>
        <w:tc>
          <w:tcPr>
            <w:tcW w:w="857" w:type="dxa"/>
            <w:tcBorders>
              <w:bottom w:val="single" w:sz="12" w:space="0" w:color="538135" w:themeColor="accent6" w:themeShade="BF"/>
            </w:tcBorders>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43,1</w:t>
            </w:r>
          </w:p>
        </w:tc>
        <w:tc>
          <w:tcPr>
            <w:tcW w:w="861" w:type="dxa"/>
            <w:tcBorders>
              <w:bottom w:val="single" w:sz="12" w:space="0" w:color="538135" w:themeColor="accent6" w:themeShade="BF"/>
            </w:tcBorders>
            <w:shd w:val="clear" w:color="auto" w:fill="auto"/>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12,4</w:t>
            </w:r>
          </w:p>
        </w:tc>
        <w:tc>
          <w:tcPr>
            <w:tcW w:w="832" w:type="dxa"/>
            <w:tcBorders>
              <w:bottom w:val="single" w:sz="12" w:space="0" w:color="538135" w:themeColor="accent6" w:themeShade="BF"/>
            </w:tcBorders>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47,3</w:t>
            </w:r>
          </w:p>
        </w:tc>
        <w:tc>
          <w:tcPr>
            <w:tcW w:w="931" w:type="dxa"/>
            <w:tcBorders>
              <w:bottom w:val="single" w:sz="12" w:space="0" w:color="538135" w:themeColor="accent6" w:themeShade="BF"/>
            </w:tcBorders>
            <w:shd w:val="clear" w:color="auto" w:fill="auto"/>
            <w:noWrap/>
            <w:vAlign w:val="center"/>
            <w:hideMark/>
          </w:tcPr>
          <w:p w:rsidR="00396CA8" w:rsidRPr="006973B5" w:rsidRDefault="00396CA8" w:rsidP="00396CA8">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11,5</w:t>
            </w:r>
          </w:p>
        </w:tc>
      </w:tr>
    </w:tbl>
    <w:p w:rsidR="00AD3E3E" w:rsidRPr="006973B5" w:rsidRDefault="00AD3E3E" w:rsidP="00AD3E3E">
      <w:pPr>
        <w:spacing w:after="0"/>
        <w:rPr>
          <w:rFonts w:ascii="Times New Roman" w:hAnsi="Times New Roman" w:cs="Times New Roman"/>
          <w:i/>
          <w:sz w:val="20"/>
          <w:szCs w:val="20"/>
          <w:lang w:val="en-GB"/>
        </w:rPr>
      </w:pPr>
      <w:r w:rsidRPr="006973B5">
        <w:rPr>
          <w:rFonts w:ascii="Times New Roman" w:hAnsi="Times New Roman" w:cs="Times New Roman"/>
          <w:sz w:val="20"/>
          <w:szCs w:val="20"/>
          <w:u w:val="single"/>
        </w:rPr>
        <w:t>Source :</w:t>
      </w:r>
      <w:r w:rsidRPr="006973B5">
        <w:rPr>
          <w:rFonts w:ascii="Times New Roman" w:hAnsi="Times New Roman" w:cs="Times New Roman"/>
          <w:sz w:val="20"/>
          <w:szCs w:val="20"/>
        </w:rPr>
        <w:t xml:space="preserve"> ONEF, à partir des données</w:t>
      </w:r>
      <w:r w:rsidRPr="006973B5">
        <w:rPr>
          <w:rFonts w:ascii="Times New Roman" w:hAnsi="Times New Roman" w:cs="Times New Roman"/>
          <w:i/>
          <w:sz w:val="20"/>
          <w:szCs w:val="20"/>
          <w:lang w:val="en-GB"/>
        </w:rPr>
        <w:t xml:space="preserve"> EMOP-</w:t>
      </w:r>
      <w:r>
        <w:rPr>
          <w:rFonts w:ascii="Times New Roman" w:hAnsi="Times New Roman" w:cs="Times New Roman"/>
          <w:i/>
          <w:sz w:val="20"/>
          <w:szCs w:val="20"/>
          <w:lang w:val="en-GB"/>
        </w:rPr>
        <w:t>2013-</w:t>
      </w:r>
      <w:r w:rsidRPr="006973B5">
        <w:rPr>
          <w:rFonts w:ascii="Times New Roman" w:hAnsi="Times New Roman" w:cs="Times New Roman"/>
          <w:i/>
          <w:sz w:val="20"/>
          <w:szCs w:val="20"/>
          <w:lang w:val="en-GB"/>
        </w:rPr>
        <w:t>2017</w:t>
      </w:r>
    </w:p>
    <w:p w:rsidR="00B8375F" w:rsidRPr="006973B5" w:rsidRDefault="00B8375F" w:rsidP="007B693B">
      <w:pPr>
        <w:spacing w:after="0"/>
        <w:jc w:val="both"/>
        <w:rPr>
          <w:rFonts w:ascii="Times New Roman" w:hAnsi="Times New Roman" w:cs="Times New Roman"/>
          <w:bCs/>
          <w:iCs/>
          <w:szCs w:val="20"/>
        </w:rPr>
      </w:pPr>
    </w:p>
    <w:p w:rsidR="00B8375F" w:rsidRPr="006973B5" w:rsidRDefault="00B8375F" w:rsidP="007B693B">
      <w:pPr>
        <w:spacing w:after="0"/>
        <w:jc w:val="both"/>
        <w:rPr>
          <w:rFonts w:ascii="Times New Roman" w:hAnsi="Times New Roman" w:cs="Times New Roman"/>
          <w:bCs/>
          <w:iCs/>
          <w:sz w:val="24"/>
          <w:szCs w:val="20"/>
        </w:rPr>
      </w:pPr>
      <w:r w:rsidRPr="006973B5">
        <w:rPr>
          <w:rFonts w:ascii="Times New Roman" w:hAnsi="Times New Roman" w:cs="Times New Roman"/>
          <w:bCs/>
          <w:iCs/>
          <w:sz w:val="24"/>
          <w:szCs w:val="20"/>
        </w:rPr>
        <w:t>Tout comme le précédent tableau, nous constatons un taux de chômage faible en 2013 et 2014 pour les jeunes issus de ménage pauvre e</w:t>
      </w:r>
    </w:p>
    <w:p w:rsidR="00B8375F" w:rsidRPr="006973B5" w:rsidRDefault="00B8375F" w:rsidP="007B693B">
      <w:pPr>
        <w:spacing w:after="0"/>
        <w:jc w:val="both"/>
        <w:rPr>
          <w:rFonts w:ascii="Times New Roman" w:hAnsi="Times New Roman" w:cs="Times New Roman"/>
          <w:bCs/>
          <w:iCs/>
          <w:szCs w:val="20"/>
        </w:rPr>
      </w:pPr>
      <w:r w:rsidRPr="006973B5">
        <w:rPr>
          <w:rFonts w:ascii="Times New Roman" w:hAnsi="Times New Roman" w:cs="Times New Roman"/>
          <w:bCs/>
          <w:iCs/>
          <w:szCs w:val="20"/>
        </w:rPr>
        <w:t xml:space="preserve"> </w:t>
      </w:r>
    </w:p>
    <w:p w:rsidR="00211B05" w:rsidRPr="006973B5" w:rsidRDefault="00211B05" w:rsidP="00211B05">
      <w:pPr>
        <w:pStyle w:val="Lgende"/>
        <w:spacing w:after="0"/>
        <w:jc w:val="both"/>
        <w:rPr>
          <w:color w:val="auto"/>
          <w:sz w:val="20"/>
        </w:rPr>
      </w:pPr>
      <w:bookmarkStart w:id="23" w:name="_Toc516676457"/>
      <w:r w:rsidRPr="006973B5">
        <w:rPr>
          <w:color w:val="auto"/>
          <w:sz w:val="20"/>
        </w:rPr>
        <w:t xml:space="preserve">Tableau </w:t>
      </w:r>
      <w:r w:rsidRPr="006973B5">
        <w:rPr>
          <w:color w:val="auto"/>
          <w:sz w:val="20"/>
        </w:rPr>
        <w:fldChar w:fldCharType="begin"/>
      </w:r>
      <w:r w:rsidRPr="006973B5">
        <w:rPr>
          <w:color w:val="auto"/>
          <w:sz w:val="20"/>
        </w:rPr>
        <w:instrText xml:space="preserve"> SEQ Tableau \* ARABIC </w:instrText>
      </w:r>
      <w:r w:rsidRPr="006973B5">
        <w:rPr>
          <w:color w:val="auto"/>
          <w:sz w:val="20"/>
        </w:rPr>
        <w:fldChar w:fldCharType="separate"/>
      </w:r>
      <w:r w:rsidRPr="006973B5">
        <w:rPr>
          <w:noProof/>
          <w:color w:val="auto"/>
          <w:sz w:val="20"/>
        </w:rPr>
        <w:t>5</w:t>
      </w:r>
      <w:r w:rsidRPr="006973B5">
        <w:rPr>
          <w:color w:val="auto"/>
          <w:sz w:val="20"/>
        </w:rPr>
        <w:fldChar w:fldCharType="end"/>
      </w:r>
      <w:r w:rsidRPr="006973B5">
        <w:rPr>
          <w:color w:val="auto"/>
          <w:sz w:val="20"/>
        </w:rPr>
        <w:t>.Evolution du taux de chômage et du taux d’inactivité (en%) de 2013 à 2017</w:t>
      </w:r>
      <w:bookmarkEnd w:id="23"/>
    </w:p>
    <w:tbl>
      <w:tblPr>
        <w:tblW w:w="10510" w:type="dxa"/>
        <w:jc w:val="center"/>
        <w:tblCellMar>
          <w:left w:w="70" w:type="dxa"/>
          <w:right w:w="70" w:type="dxa"/>
        </w:tblCellMar>
        <w:tblLook w:val="04A0" w:firstRow="1" w:lastRow="0" w:firstColumn="1" w:lastColumn="0" w:noHBand="0" w:noVBand="1"/>
      </w:tblPr>
      <w:tblGrid>
        <w:gridCol w:w="1054"/>
        <w:gridCol w:w="1498"/>
        <w:gridCol w:w="718"/>
        <w:gridCol w:w="855"/>
        <w:gridCol w:w="718"/>
        <w:gridCol w:w="850"/>
        <w:gridCol w:w="846"/>
        <w:gridCol w:w="845"/>
        <w:gridCol w:w="718"/>
        <w:gridCol w:w="845"/>
        <w:gridCol w:w="718"/>
        <w:gridCol w:w="845"/>
      </w:tblGrid>
      <w:tr w:rsidR="00DD4A57" w:rsidRPr="006973B5" w:rsidTr="00AD3E3E">
        <w:trPr>
          <w:trHeight w:val="102"/>
          <w:jc w:val="center"/>
        </w:trPr>
        <w:tc>
          <w:tcPr>
            <w:tcW w:w="1054" w:type="dxa"/>
            <w:tcBorders>
              <w:top w:val="single" w:sz="12" w:space="0" w:color="538135" w:themeColor="accent6" w:themeShade="BF"/>
            </w:tcBorders>
            <w:shd w:val="clear" w:color="auto" w:fill="auto"/>
            <w:noWrap/>
            <w:vAlign w:val="bottom"/>
            <w:hideMark/>
          </w:tcPr>
          <w:p w:rsidR="00DD4A57" w:rsidRPr="006973B5" w:rsidRDefault="00DD4A57" w:rsidP="00DD4A57">
            <w:pPr>
              <w:spacing w:after="0" w:line="240" w:lineRule="auto"/>
              <w:rPr>
                <w:rFonts w:ascii="Calibri" w:eastAsia="Times New Roman" w:hAnsi="Calibri" w:cs="Calibri"/>
                <w:color w:val="000000"/>
                <w:sz w:val="20"/>
                <w:szCs w:val="20"/>
                <w:lang w:eastAsia="fr-FR"/>
              </w:rPr>
            </w:pPr>
            <w:r w:rsidRPr="006973B5">
              <w:rPr>
                <w:rFonts w:ascii="Calibri" w:eastAsia="Times New Roman" w:hAnsi="Calibri" w:cs="Calibri"/>
                <w:color w:val="000000"/>
                <w:sz w:val="20"/>
                <w:szCs w:val="20"/>
                <w:lang w:eastAsia="fr-FR"/>
              </w:rPr>
              <w:t> </w:t>
            </w:r>
          </w:p>
        </w:tc>
        <w:tc>
          <w:tcPr>
            <w:tcW w:w="1498" w:type="dxa"/>
            <w:tcBorders>
              <w:top w:val="single" w:sz="12" w:space="0" w:color="538135" w:themeColor="accent6" w:themeShade="BF"/>
            </w:tcBorders>
            <w:shd w:val="clear" w:color="auto" w:fill="auto"/>
            <w:noWrap/>
            <w:vAlign w:val="bottom"/>
            <w:hideMark/>
          </w:tcPr>
          <w:p w:rsidR="00DD4A57" w:rsidRPr="006973B5" w:rsidRDefault="00DD4A57" w:rsidP="00DD4A57">
            <w:pPr>
              <w:spacing w:after="0" w:line="240" w:lineRule="auto"/>
              <w:rPr>
                <w:rFonts w:ascii="Calibri" w:eastAsia="Times New Roman" w:hAnsi="Calibri" w:cs="Calibri"/>
                <w:color w:val="000000"/>
                <w:sz w:val="20"/>
                <w:szCs w:val="20"/>
                <w:lang w:eastAsia="fr-FR"/>
              </w:rPr>
            </w:pPr>
            <w:r w:rsidRPr="006973B5">
              <w:rPr>
                <w:rFonts w:ascii="Calibri" w:eastAsia="Times New Roman" w:hAnsi="Calibri" w:cs="Calibri"/>
                <w:color w:val="000000"/>
                <w:sz w:val="20"/>
                <w:szCs w:val="20"/>
                <w:lang w:eastAsia="fr-FR"/>
              </w:rPr>
              <w:t> </w:t>
            </w:r>
          </w:p>
        </w:tc>
        <w:tc>
          <w:tcPr>
            <w:tcW w:w="1573" w:type="dxa"/>
            <w:gridSpan w:val="2"/>
            <w:tcBorders>
              <w:top w:val="single" w:sz="12" w:space="0" w:color="538135" w:themeColor="accent6" w:themeShade="BF"/>
              <w:bottom w:val="single" w:sz="12" w:space="0" w:color="538135" w:themeColor="accent6" w:themeShade="BF"/>
            </w:tcBorders>
            <w:shd w:val="clear" w:color="auto" w:fill="auto"/>
            <w:noWrap/>
            <w:vAlign w:val="bottom"/>
            <w:hideMark/>
          </w:tcPr>
          <w:p w:rsidR="00DD4A57" w:rsidRPr="006973B5" w:rsidRDefault="00DD4A57" w:rsidP="00DD4A57">
            <w:pPr>
              <w:spacing w:after="0" w:line="240" w:lineRule="auto"/>
              <w:jc w:val="center"/>
              <w:rPr>
                <w:rFonts w:ascii="Calibri" w:eastAsia="Times New Roman" w:hAnsi="Calibri" w:cs="Calibri"/>
                <w:color w:val="000000"/>
                <w:sz w:val="20"/>
                <w:szCs w:val="20"/>
                <w:lang w:eastAsia="fr-FR"/>
              </w:rPr>
            </w:pPr>
            <w:r w:rsidRPr="006973B5">
              <w:rPr>
                <w:rFonts w:ascii="Calibri" w:eastAsia="Times New Roman" w:hAnsi="Calibri" w:cs="Calibri"/>
                <w:color w:val="000000"/>
                <w:sz w:val="20"/>
                <w:szCs w:val="20"/>
                <w:lang w:eastAsia="fr-FR"/>
              </w:rPr>
              <w:t>2013</w:t>
            </w:r>
          </w:p>
        </w:tc>
        <w:tc>
          <w:tcPr>
            <w:tcW w:w="1568" w:type="dxa"/>
            <w:gridSpan w:val="2"/>
            <w:tcBorders>
              <w:top w:val="single" w:sz="12" w:space="0" w:color="538135" w:themeColor="accent6" w:themeShade="BF"/>
              <w:bottom w:val="single" w:sz="12" w:space="0" w:color="538135" w:themeColor="accent6" w:themeShade="BF"/>
            </w:tcBorders>
            <w:shd w:val="clear" w:color="auto" w:fill="auto"/>
            <w:noWrap/>
            <w:vAlign w:val="bottom"/>
            <w:hideMark/>
          </w:tcPr>
          <w:p w:rsidR="00DD4A57" w:rsidRPr="006973B5" w:rsidRDefault="00DD4A57" w:rsidP="00DD4A57">
            <w:pPr>
              <w:spacing w:after="0" w:line="240" w:lineRule="auto"/>
              <w:jc w:val="center"/>
              <w:rPr>
                <w:rFonts w:ascii="Calibri" w:eastAsia="Times New Roman" w:hAnsi="Calibri" w:cs="Calibri"/>
                <w:color w:val="000000"/>
                <w:sz w:val="20"/>
                <w:szCs w:val="20"/>
                <w:lang w:eastAsia="fr-FR"/>
              </w:rPr>
            </w:pPr>
            <w:r w:rsidRPr="006973B5">
              <w:rPr>
                <w:rFonts w:ascii="Calibri" w:eastAsia="Times New Roman" w:hAnsi="Calibri" w:cs="Calibri"/>
                <w:color w:val="000000"/>
                <w:sz w:val="20"/>
                <w:szCs w:val="20"/>
                <w:lang w:eastAsia="fr-FR"/>
              </w:rPr>
              <w:t>2014</w:t>
            </w:r>
          </w:p>
        </w:tc>
        <w:tc>
          <w:tcPr>
            <w:tcW w:w="1691" w:type="dxa"/>
            <w:gridSpan w:val="2"/>
            <w:tcBorders>
              <w:top w:val="single" w:sz="12" w:space="0" w:color="538135" w:themeColor="accent6" w:themeShade="BF"/>
              <w:bottom w:val="single" w:sz="12" w:space="0" w:color="538135" w:themeColor="accent6" w:themeShade="BF"/>
            </w:tcBorders>
            <w:shd w:val="clear" w:color="auto" w:fill="auto"/>
            <w:noWrap/>
            <w:vAlign w:val="bottom"/>
            <w:hideMark/>
          </w:tcPr>
          <w:p w:rsidR="00DD4A57" w:rsidRPr="006973B5" w:rsidRDefault="00DD4A57" w:rsidP="00DD4A57">
            <w:pPr>
              <w:spacing w:after="0" w:line="240" w:lineRule="auto"/>
              <w:jc w:val="center"/>
              <w:rPr>
                <w:rFonts w:ascii="Calibri" w:eastAsia="Times New Roman" w:hAnsi="Calibri" w:cs="Calibri"/>
                <w:color w:val="000000"/>
                <w:sz w:val="20"/>
                <w:szCs w:val="20"/>
                <w:lang w:eastAsia="fr-FR"/>
              </w:rPr>
            </w:pPr>
            <w:r w:rsidRPr="006973B5">
              <w:rPr>
                <w:rFonts w:ascii="Calibri" w:eastAsia="Times New Roman" w:hAnsi="Calibri" w:cs="Calibri"/>
                <w:color w:val="000000"/>
                <w:sz w:val="20"/>
                <w:szCs w:val="20"/>
                <w:lang w:eastAsia="fr-FR"/>
              </w:rPr>
              <w:t>2015</w:t>
            </w:r>
          </w:p>
        </w:tc>
        <w:tc>
          <w:tcPr>
            <w:tcW w:w="1563" w:type="dxa"/>
            <w:gridSpan w:val="2"/>
            <w:tcBorders>
              <w:top w:val="single" w:sz="12" w:space="0" w:color="538135" w:themeColor="accent6" w:themeShade="BF"/>
              <w:bottom w:val="single" w:sz="12" w:space="0" w:color="538135" w:themeColor="accent6" w:themeShade="BF"/>
            </w:tcBorders>
            <w:shd w:val="clear" w:color="auto" w:fill="auto"/>
            <w:noWrap/>
            <w:vAlign w:val="bottom"/>
            <w:hideMark/>
          </w:tcPr>
          <w:p w:rsidR="00DD4A57" w:rsidRPr="006973B5" w:rsidRDefault="00DD4A57" w:rsidP="00DD4A57">
            <w:pPr>
              <w:spacing w:after="0" w:line="240" w:lineRule="auto"/>
              <w:jc w:val="center"/>
              <w:rPr>
                <w:rFonts w:ascii="Calibri" w:eastAsia="Times New Roman" w:hAnsi="Calibri" w:cs="Calibri"/>
                <w:color w:val="000000"/>
                <w:sz w:val="20"/>
                <w:szCs w:val="20"/>
                <w:lang w:eastAsia="fr-FR"/>
              </w:rPr>
            </w:pPr>
            <w:r w:rsidRPr="006973B5">
              <w:rPr>
                <w:rFonts w:ascii="Calibri" w:eastAsia="Times New Roman" w:hAnsi="Calibri" w:cs="Calibri"/>
                <w:color w:val="000000"/>
                <w:sz w:val="20"/>
                <w:szCs w:val="20"/>
                <w:lang w:eastAsia="fr-FR"/>
              </w:rPr>
              <w:t>2016</w:t>
            </w:r>
          </w:p>
        </w:tc>
        <w:tc>
          <w:tcPr>
            <w:tcW w:w="1563" w:type="dxa"/>
            <w:gridSpan w:val="2"/>
            <w:tcBorders>
              <w:top w:val="single" w:sz="12" w:space="0" w:color="538135" w:themeColor="accent6" w:themeShade="BF"/>
              <w:bottom w:val="single" w:sz="12" w:space="0" w:color="538135" w:themeColor="accent6" w:themeShade="BF"/>
            </w:tcBorders>
            <w:shd w:val="clear" w:color="auto" w:fill="auto"/>
            <w:noWrap/>
            <w:vAlign w:val="bottom"/>
            <w:hideMark/>
          </w:tcPr>
          <w:p w:rsidR="00DD4A57" w:rsidRPr="006973B5" w:rsidRDefault="00DD4A57" w:rsidP="00DD4A57">
            <w:pPr>
              <w:spacing w:after="0" w:line="240" w:lineRule="auto"/>
              <w:jc w:val="center"/>
              <w:rPr>
                <w:rFonts w:ascii="Calibri" w:eastAsia="Times New Roman" w:hAnsi="Calibri" w:cs="Calibri"/>
                <w:color w:val="000000"/>
                <w:sz w:val="20"/>
                <w:szCs w:val="20"/>
                <w:lang w:eastAsia="fr-FR"/>
              </w:rPr>
            </w:pPr>
            <w:r w:rsidRPr="006973B5">
              <w:rPr>
                <w:rFonts w:ascii="Calibri" w:eastAsia="Times New Roman" w:hAnsi="Calibri" w:cs="Calibri"/>
                <w:color w:val="000000"/>
                <w:sz w:val="20"/>
                <w:szCs w:val="20"/>
                <w:lang w:eastAsia="fr-FR"/>
              </w:rPr>
              <w:t>2017</w:t>
            </w:r>
          </w:p>
        </w:tc>
      </w:tr>
      <w:tr w:rsidR="00DD4A57" w:rsidRPr="006973B5" w:rsidTr="00AD3E3E">
        <w:trPr>
          <w:trHeight w:val="233"/>
          <w:jc w:val="center"/>
        </w:trPr>
        <w:tc>
          <w:tcPr>
            <w:tcW w:w="1054" w:type="dxa"/>
            <w:tcBorders>
              <w:bottom w:val="single" w:sz="12" w:space="0" w:color="538135" w:themeColor="accent6" w:themeShade="BF"/>
            </w:tcBorders>
            <w:shd w:val="clear" w:color="auto" w:fill="auto"/>
            <w:noWrap/>
            <w:vAlign w:val="bottom"/>
            <w:hideMark/>
          </w:tcPr>
          <w:p w:rsidR="00DD4A57" w:rsidRPr="006973B5" w:rsidRDefault="00DD4A57" w:rsidP="00DD4A57">
            <w:pPr>
              <w:spacing w:after="0" w:line="240" w:lineRule="auto"/>
              <w:rPr>
                <w:rFonts w:ascii="Calibri" w:eastAsia="Times New Roman" w:hAnsi="Calibri" w:cs="Calibri"/>
                <w:color w:val="000000"/>
                <w:sz w:val="16"/>
                <w:szCs w:val="20"/>
                <w:lang w:eastAsia="fr-FR"/>
              </w:rPr>
            </w:pPr>
            <w:r w:rsidRPr="006973B5">
              <w:rPr>
                <w:rFonts w:ascii="Calibri" w:eastAsia="Times New Roman" w:hAnsi="Calibri" w:cs="Calibri"/>
                <w:color w:val="000000"/>
                <w:sz w:val="16"/>
                <w:szCs w:val="20"/>
                <w:lang w:eastAsia="fr-FR"/>
              </w:rPr>
              <w:t> </w:t>
            </w:r>
          </w:p>
        </w:tc>
        <w:tc>
          <w:tcPr>
            <w:tcW w:w="1498" w:type="dxa"/>
            <w:tcBorders>
              <w:bottom w:val="single" w:sz="12" w:space="0" w:color="538135" w:themeColor="accent6" w:themeShade="BF"/>
            </w:tcBorders>
            <w:shd w:val="clear" w:color="auto" w:fill="auto"/>
            <w:noWrap/>
            <w:vAlign w:val="bottom"/>
            <w:hideMark/>
          </w:tcPr>
          <w:p w:rsidR="00DD4A57" w:rsidRPr="006973B5" w:rsidRDefault="00DD4A57" w:rsidP="00DD4A57">
            <w:pPr>
              <w:spacing w:after="0" w:line="240" w:lineRule="auto"/>
              <w:rPr>
                <w:rFonts w:ascii="Calibri" w:eastAsia="Times New Roman" w:hAnsi="Calibri" w:cs="Calibri"/>
                <w:color w:val="000000"/>
                <w:sz w:val="16"/>
                <w:szCs w:val="20"/>
                <w:lang w:eastAsia="fr-FR"/>
              </w:rPr>
            </w:pPr>
            <w:r w:rsidRPr="006973B5">
              <w:rPr>
                <w:rFonts w:ascii="Calibri" w:eastAsia="Times New Roman" w:hAnsi="Calibri" w:cs="Calibri"/>
                <w:color w:val="000000"/>
                <w:sz w:val="16"/>
                <w:szCs w:val="20"/>
                <w:lang w:eastAsia="fr-FR"/>
              </w:rPr>
              <w:t> </w:t>
            </w:r>
          </w:p>
        </w:tc>
        <w:tc>
          <w:tcPr>
            <w:tcW w:w="718" w:type="dxa"/>
            <w:tcBorders>
              <w:top w:val="single" w:sz="12" w:space="0" w:color="538135" w:themeColor="accent6" w:themeShade="BF"/>
              <w:bottom w:val="single" w:sz="12" w:space="0" w:color="538135" w:themeColor="accent6" w:themeShade="BF"/>
            </w:tcBorders>
            <w:shd w:val="clear" w:color="auto" w:fill="auto"/>
            <w:vAlign w:val="center"/>
            <w:hideMark/>
          </w:tcPr>
          <w:p w:rsidR="00DD4A57" w:rsidRPr="006973B5" w:rsidRDefault="00DD4A57" w:rsidP="00DD4A57">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de chômage</w:t>
            </w:r>
          </w:p>
        </w:tc>
        <w:tc>
          <w:tcPr>
            <w:tcW w:w="855" w:type="dxa"/>
            <w:tcBorders>
              <w:top w:val="single" w:sz="12" w:space="0" w:color="538135" w:themeColor="accent6" w:themeShade="BF"/>
              <w:bottom w:val="single" w:sz="12" w:space="0" w:color="538135" w:themeColor="accent6" w:themeShade="BF"/>
            </w:tcBorders>
            <w:shd w:val="clear" w:color="auto" w:fill="auto"/>
            <w:vAlign w:val="center"/>
            <w:hideMark/>
          </w:tcPr>
          <w:p w:rsidR="00DD4A57" w:rsidRPr="006973B5" w:rsidRDefault="00DD4A57" w:rsidP="00DD4A57">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d'inactivité</w:t>
            </w:r>
          </w:p>
        </w:tc>
        <w:tc>
          <w:tcPr>
            <w:tcW w:w="718" w:type="dxa"/>
            <w:tcBorders>
              <w:top w:val="single" w:sz="12" w:space="0" w:color="538135" w:themeColor="accent6" w:themeShade="BF"/>
              <w:bottom w:val="single" w:sz="12" w:space="0" w:color="538135" w:themeColor="accent6" w:themeShade="BF"/>
            </w:tcBorders>
            <w:shd w:val="clear" w:color="auto" w:fill="auto"/>
            <w:vAlign w:val="center"/>
            <w:hideMark/>
          </w:tcPr>
          <w:p w:rsidR="00DD4A57" w:rsidRPr="006973B5" w:rsidRDefault="00DD4A57" w:rsidP="00DD4A57">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de chômage</w:t>
            </w:r>
          </w:p>
        </w:tc>
        <w:tc>
          <w:tcPr>
            <w:tcW w:w="850" w:type="dxa"/>
            <w:tcBorders>
              <w:top w:val="single" w:sz="12" w:space="0" w:color="538135" w:themeColor="accent6" w:themeShade="BF"/>
              <w:bottom w:val="single" w:sz="12" w:space="0" w:color="538135" w:themeColor="accent6" w:themeShade="BF"/>
            </w:tcBorders>
            <w:shd w:val="clear" w:color="auto" w:fill="auto"/>
            <w:vAlign w:val="center"/>
            <w:hideMark/>
          </w:tcPr>
          <w:p w:rsidR="00DD4A57" w:rsidRPr="006973B5" w:rsidRDefault="00DD4A57" w:rsidP="00DD4A57">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d'inactivité</w:t>
            </w:r>
          </w:p>
        </w:tc>
        <w:tc>
          <w:tcPr>
            <w:tcW w:w="846" w:type="dxa"/>
            <w:tcBorders>
              <w:top w:val="single" w:sz="12" w:space="0" w:color="538135" w:themeColor="accent6" w:themeShade="BF"/>
              <w:bottom w:val="single" w:sz="12" w:space="0" w:color="538135" w:themeColor="accent6" w:themeShade="BF"/>
            </w:tcBorders>
            <w:shd w:val="clear" w:color="auto" w:fill="auto"/>
            <w:vAlign w:val="center"/>
            <w:hideMark/>
          </w:tcPr>
          <w:p w:rsidR="00DD4A57" w:rsidRPr="006973B5" w:rsidRDefault="00DD4A57" w:rsidP="00DD4A57">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de chômage</w:t>
            </w:r>
          </w:p>
        </w:tc>
        <w:tc>
          <w:tcPr>
            <w:tcW w:w="845" w:type="dxa"/>
            <w:tcBorders>
              <w:top w:val="single" w:sz="12" w:space="0" w:color="538135" w:themeColor="accent6" w:themeShade="BF"/>
              <w:bottom w:val="single" w:sz="12" w:space="0" w:color="538135" w:themeColor="accent6" w:themeShade="BF"/>
            </w:tcBorders>
            <w:shd w:val="clear" w:color="auto" w:fill="auto"/>
            <w:vAlign w:val="center"/>
            <w:hideMark/>
          </w:tcPr>
          <w:p w:rsidR="00DD4A57" w:rsidRPr="006973B5" w:rsidRDefault="00DD4A57" w:rsidP="00DD4A57">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d'inactivité</w:t>
            </w:r>
          </w:p>
        </w:tc>
        <w:tc>
          <w:tcPr>
            <w:tcW w:w="718" w:type="dxa"/>
            <w:tcBorders>
              <w:top w:val="single" w:sz="12" w:space="0" w:color="538135" w:themeColor="accent6" w:themeShade="BF"/>
              <w:bottom w:val="single" w:sz="12" w:space="0" w:color="538135" w:themeColor="accent6" w:themeShade="BF"/>
            </w:tcBorders>
            <w:shd w:val="clear" w:color="auto" w:fill="auto"/>
            <w:vAlign w:val="center"/>
            <w:hideMark/>
          </w:tcPr>
          <w:p w:rsidR="00DD4A57" w:rsidRPr="006973B5" w:rsidRDefault="00DD4A57" w:rsidP="00DD4A57">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de chômage</w:t>
            </w:r>
          </w:p>
        </w:tc>
        <w:tc>
          <w:tcPr>
            <w:tcW w:w="845" w:type="dxa"/>
            <w:tcBorders>
              <w:top w:val="single" w:sz="12" w:space="0" w:color="538135" w:themeColor="accent6" w:themeShade="BF"/>
              <w:bottom w:val="single" w:sz="12" w:space="0" w:color="538135" w:themeColor="accent6" w:themeShade="BF"/>
            </w:tcBorders>
            <w:shd w:val="clear" w:color="auto" w:fill="auto"/>
            <w:vAlign w:val="center"/>
            <w:hideMark/>
          </w:tcPr>
          <w:p w:rsidR="00DD4A57" w:rsidRPr="006973B5" w:rsidRDefault="00DD4A57" w:rsidP="00DD4A57">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d'inactivité</w:t>
            </w:r>
          </w:p>
        </w:tc>
        <w:tc>
          <w:tcPr>
            <w:tcW w:w="718" w:type="dxa"/>
            <w:tcBorders>
              <w:top w:val="single" w:sz="12" w:space="0" w:color="538135" w:themeColor="accent6" w:themeShade="BF"/>
              <w:bottom w:val="single" w:sz="12" w:space="0" w:color="538135" w:themeColor="accent6" w:themeShade="BF"/>
            </w:tcBorders>
            <w:shd w:val="clear" w:color="auto" w:fill="auto"/>
            <w:vAlign w:val="center"/>
            <w:hideMark/>
          </w:tcPr>
          <w:p w:rsidR="00DD4A57" w:rsidRPr="006973B5" w:rsidRDefault="00DD4A57" w:rsidP="00DD4A57">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de chômage</w:t>
            </w:r>
          </w:p>
        </w:tc>
        <w:tc>
          <w:tcPr>
            <w:tcW w:w="845" w:type="dxa"/>
            <w:tcBorders>
              <w:top w:val="single" w:sz="12" w:space="0" w:color="538135" w:themeColor="accent6" w:themeShade="BF"/>
              <w:bottom w:val="single" w:sz="12" w:space="0" w:color="538135" w:themeColor="accent6" w:themeShade="BF"/>
            </w:tcBorders>
            <w:shd w:val="clear" w:color="auto" w:fill="auto"/>
            <w:vAlign w:val="center"/>
            <w:hideMark/>
          </w:tcPr>
          <w:p w:rsidR="00DD4A57" w:rsidRPr="006973B5" w:rsidRDefault="00DD4A57" w:rsidP="00DD4A57">
            <w:pPr>
              <w:spacing w:after="0" w:line="240" w:lineRule="auto"/>
              <w:jc w:val="center"/>
              <w:rPr>
                <w:rFonts w:ascii="Times New Roman" w:eastAsia="Times New Roman" w:hAnsi="Times New Roman" w:cs="Times New Roman"/>
                <w:color w:val="000000"/>
                <w:sz w:val="16"/>
                <w:szCs w:val="20"/>
                <w:lang w:eastAsia="fr-FR"/>
              </w:rPr>
            </w:pPr>
            <w:r w:rsidRPr="006973B5">
              <w:rPr>
                <w:rFonts w:ascii="Times New Roman" w:eastAsia="Times New Roman" w:hAnsi="Times New Roman" w:cs="Times New Roman"/>
                <w:color w:val="000000"/>
                <w:sz w:val="16"/>
                <w:szCs w:val="20"/>
                <w:lang w:eastAsia="fr-FR"/>
              </w:rPr>
              <w:t>Taux d'inactivité</w:t>
            </w:r>
          </w:p>
        </w:tc>
      </w:tr>
      <w:tr w:rsidR="00DD4A57" w:rsidRPr="006973B5" w:rsidTr="00AD3E3E">
        <w:trPr>
          <w:trHeight w:val="102"/>
          <w:jc w:val="center"/>
        </w:trPr>
        <w:tc>
          <w:tcPr>
            <w:tcW w:w="1054" w:type="dxa"/>
            <w:vMerge w:val="restart"/>
            <w:tcBorders>
              <w:top w:val="single" w:sz="12" w:space="0" w:color="538135" w:themeColor="accent6" w:themeShade="BF"/>
            </w:tcBorders>
            <w:shd w:val="clear" w:color="auto" w:fill="auto"/>
            <w:vAlign w:val="center"/>
            <w:hideMark/>
          </w:tcPr>
          <w:p w:rsidR="00DD4A57" w:rsidRPr="006973B5" w:rsidRDefault="00DD4A57" w:rsidP="00DD4A57">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Pauvreté</w:t>
            </w:r>
          </w:p>
        </w:tc>
        <w:tc>
          <w:tcPr>
            <w:tcW w:w="1498" w:type="dxa"/>
            <w:tcBorders>
              <w:top w:val="single" w:sz="12" w:space="0" w:color="538135" w:themeColor="accent6" w:themeShade="BF"/>
            </w:tcBorders>
            <w:shd w:val="clear" w:color="auto" w:fill="auto"/>
            <w:vAlign w:val="center"/>
            <w:hideMark/>
          </w:tcPr>
          <w:p w:rsidR="00DD4A57" w:rsidRPr="006973B5" w:rsidRDefault="00DD4A57" w:rsidP="00DD4A57">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Pauvre</w:t>
            </w:r>
          </w:p>
        </w:tc>
        <w:tc>
          <w:tcPr>
            <w:tcW w:w="718" w:type="dxa"/>
            <w:tcBorders>
              <w:top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6,8</w:t>
            </w:r>
          </w:p>
        </w:tc>
        <w:tc>
          <w:tcPr>
            <w:tcW w:w="855" w:type="dxa"/>
            <w:tcBorders>
              <w:top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15,9</w:t>
            </w:r>
          </w:p>
        </w:tc>
        <w:tc>
          <w:tcPr>
            <w:tcW w:w="718" w:type="dxa"/>
            <w:tcBorders>
              <w:top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7,5</w:t>
            </w:r>
          </w:p>
        </w:tc>
        <w:tc>
          <w:tcPr>
            <w:tcW w:w="850" w:type="dxa"/>
            <w:tcBorders>
              <w:top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29,7</w:t>
            </w:r>
          </w:p>
        </w:tc>
        <w:tc>
          <w:tcPr>
            <w:tcW w:w="846" w:type="dxa"/>
            <w:tcBorders>
              <w:top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21,2</w:t>
            </w:r>
          </w:p>
        </w:tc>
        <w:tc>
          <w:tcPr>
            <w:tcW w:w="845" w:type="dxa"/>
            <w:tcBorders>
              <w:top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46,2</w:t>
            </w:r>
          </w:p>
        </w:tc>
        <w:tc>
          <w:tcPr>
            <w:tcW w:w="718" w:type="dxa"/>
            <w:tcBorders>
              <w:top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32,8</w:t>
            </w:r>
          </w:p>
        </w:tc>
        <w:tc>
          <w:tcPr>
            <w:tcW w:w="845" w:type="dxa"/>
            <w:tcBorders>
              <w:top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44,4</w:t>
            </w:r>
          </w:p>
        </w:tc>
        <w:tc>
          <w:tcPr>
            <w:tcW w:w="718" w:type="dxa"/>
            <w:tcBorders>
              <w:top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w:t>
            </w:r>
          </w:p>
        </w:tc>
        <w:tc>
          <w:tcPr>
            <w:tcW w:w="845" w:type="dxa"/>
            <w:tcBorders>
              <w:top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w:t>
            </w:r>
          </w:p>
        </w:tc>
      </w:tr>
      <w:tr w:rsidR="00DD4A57" w:rsidRPr="006973B5" w:rsidTr="00AD3E3E">
        <w:trPr>
          <w:trHeight w:val="102"/>
          <w:jc w:val="center"/>
        </w:trPr>
        <w:tc>
          <w:tcPr>
            <w:tcW w:w="1054" w:type="dxa"/>
            <w:vMerge/>
            <w:vAlign w:val="center"/>
            <w:hideMark/>
          </w:tcPr>
          <w:p w:rsidR="00DD4A57" w:rsidRPr="006973B5" w:rsidRDefault="00DD4A57" w:rsidP="00DD4A57">
            <w:pPr>
              <w:spacing w:after="0" w:line="240" w:lineRule="auto"/>
              <w:rPr>
                <w:rFonts w:ascii="Times New Roman" w:eastAsia="Times New Roman" w:hAnsi="Times New Roman" w:cs="Times New Roman"/>
                <w:color w:val="000000"/>
                <w:sz w:val="20"/>
                <w:szCs w:val="20"/>
                <w:lang w:eastAsia="fr-FR"/>
              </w:rPr>
            </w:pPr>
          </w:p>
        </w:tc>
        <w:tc>
          <w:tcPr>
            <w:tcW w:w="1498" w:type="dxa"/>
            <w:shd w:val="clear" w:color="auto" w:fill="auto"/>
            <w:vAlign w:val="center"/>
            <w:hideMark/>
          </w:tcPr>
          <w:p w:rsidR="00DD4A57" w:rsidRPr="006973B5" w:rsidRDefault="00DD4A57" w:rsidP="00DD4A57">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Non pauvre</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12,1</w:t>
            </w:r>
          </w:p>
        </w:tc>
        <w:tc>
          <w:tcPr>
            <w:tcW w:w="85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40,7</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14,1</w:t>
            </w:r>
          </w:p>
        </w:tc>
        <w:tc>
          <w:tcPr>
            <w:tcW w:w="850"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43,9</w:t>
            </w:r>
          </w:p>
        </w:tc>
        <w:tc>
          <w:tcPr>
            <w:tcW w:w="846"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23,5</w:t>
            </w:r>
          </w:p>
        </w:tc>
        <w:tc>
          <w:tcPr>
            <w:tcW w:w="84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27,2</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28,9</w:t>
            </w:r>
          </w:p>
        </w:tc>
        <w:tc>
          <w:tcPr>
            <w:tcW w:w="84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28,3</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w:t>
            </w:r>
          </w:p>
        </w:tc>
        <w:tc>
          <w:tcPr>
            <w:tcW w:w="84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w:t>
            </w:r>
          </w:p>
        </w:tc>
      </w:tr>
      <w:tr w:rsidR="00DD4A57" w:rsidRPr="006973B5" w:rsidTr="00AD3E3E">
        <w:trPr>
          <w:trHeight w:val="102"/>
          <w:jc w:val="center"/>
        </w:trPr>
        <w:tc>
          <w:tcPr>
            <w:tcW w:w="1054" w:type="dxa"/>
            <w:vMerge w:val="restart"/>
            <w:shd w:val="clear" w:color="auto" w:fill="auto"/>
            <w:vAlign w:val="center"/>
            <w:hideMark/>
          </w:tcPr>
          <w:p w:rsidR="00DD4A57" w:rsidRPr="006973B5" w:rsidRDefault="00DD4A57" w:rsidP="00DD4A57">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Niveau d'éducation</w:t>
            </w:r>
          </w:p>
        </w:tc>
        <w:tc>
          <w:tcPr>
            <w:tcW w:w="1498" w:type="dxa"/>
            <w:shd w:val="clear" w:color="auto" w:fill="auto"/>
            <w:vAlign w:val="center"/>
            <w:hideMark/>
          </w:tcPr>
          <w:p w:rsidR="00DD4A57" w:rsidRPr="006973B5" w:rsidRDefault="00DD4A57" w:rsidP="00DD4A57">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Aucun niveau</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8,3</w:t>
            </w:r>
          </w:p>
        </w:tc>
        <w:tc>
          <w:tcPr>
            <w:tcW w:w="85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14,5</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8,8</w:t>
            </w:r>
          </w:p>
        </w:tc>
        <w:tc>
          <w:tcPr>
            <w:tcW w:w="850"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21,5</w:t>
            </w:r>
          </w:p>
        </w:tc>
        <w:tc>
          <w:tcPr>
            <w:tcW w:w="846"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20,9</w:t>
            </w:r>
          </w:p>
        </w:tc>
        <w:tc>
          <w:tcPr>
            <w:tcW w:w="84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17,7</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25,2</w:t>
            </w:r>
          </w:p>
        </w:tc>
        <w:tc>
          <w:tcPr>
            <w:tcW w:w="84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24,1</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19,4</w:t>
            </w:r>
          </w:p>
        </w:tc>
        <w:tc>
          <w:tcPr>
            <w:tcW w:w="84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22</w:t>
            </w:r>
          </w:p>
        </w:tc>
      </w:tr>
      <w:tr w:rsidR="00DD4A57" w:rsidRPr="006973B5" w:rsidTr="00AD3E3E">
        <w:trPr>
          <w:trHeight w:val="102"/>
          <w:jc w:val="center"/>
        </w:trPr>
        <w:tc>
          <w:tcPr>
            <w:tcW w:w="1054" w:type="dxa"/>
            <w:vMerge/>
            <w:vAlign w:val="center"/>
            <w:hideMark/>
          </w:tcPr>
          <w:p w:rsidR="00DD4A57" w:rsidRPr="006973B5" w:rsidRDefault="00DD4A57" w:rsidP="00DD4A57">
            <w:pPr>
              <w:spacing w:after="0" w:line="240" w:lineRule="auto"/>
              <w:rPr>
                <w:rFonts w:ascii="Times New Roman" w:eastAsia="Times New Roman" w:hAnsi="Times New Roman" w:cs="Times New Roman"/>
                <w:color w:val="000000"/>
                <w:sz w:val="20"/>
                <w:szCs w:val="20"/>
                <w:lang w:eastAsia="fr-FR"/>
              </w:rPr>
            </w:pPr>
          </w:p>
        </w:tc>
        <w:tc>
          <w:tcPr>
            <w:tcW w:w="1498" w:type="dxa"/>
            <w:shd w:val="clear" w:color="auto" w:fill="auto"/>
            <w:vAlign w:val="center"/>
            <w:hideMark/>
          </w:tcPr>
          <w:p w:rsidR="00DD4A57" w:rsidRPr="006973B5" w:rsidRDefault="00DD4A57" w:rsidP="00DD4A57">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Primaire</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9,7</w:t>
            </w:r>
          </w:p>
        </w:tc>
        <w:tc>
          <w:tcPr>
            <w:tcW w:w="85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34,5</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13</w:t>
            </w:r>
          </w:p>
        </w:tc>
        <w:tc>
          <w:tcPr>
            <w:tcW w:w="850"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54</w:t>
            </w:r>
          </w:p>
        </w:tc>
        <w:tc>
          <w:tcPr>
            <w:tcW w:w="846"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22,9</w:t>
            </w:r>
          </w:p>
        </w:tc>
        <w:tc>
          <w:tcPr>
            <w:tcW w:w="84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53,8</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37,6</w:t>
            </w:r>
          </w:p>
        </w:tc>
        <w:tc>
          <w:tcPr>
            <w:tcW w:w="84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51,8</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23,4</w:t>
            </w:r>
          </w:p>
        </w:tc>
        <w:tc>
          <w:tcPr>
            <w:tcW w:w="84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55</w:t>
            </w:r>
          </w:p>
        </w:tc>
      </w:tr>
      <w:tr w:rsidR="00DD4A57" w:rsidRPr="006973B5" w:rsidTr="00AD3E3E">
        <w:trPr>
          <w:trHeight w:val="102"/>
          <w:jc w:val="center"/>
        </w:trPr>
        <w:tc>
          <w:tcPr>
            <w:tcW w:w="1054" w:type="dxa"/>
            <w:vMerge/>
            <w:vAlign w:val="center"/>
            <w:hideMark/>
          </w:tcPr>
          <w:p w:rsidR="00DD4A57" w:rsidRPr="006973B5" w:rsidRDefault="00DD4A57" w:rsidP="00DD4A57">
            <w:pPr>
              <w:spacing w:after="0" w:line="240" w:lineRule="auto"/>
              <w:rPr>
                <w:rFonts w:ascii="Times New Roman" w:eastAsia="Times New Roman" w:hAnsi="Times New Roman" w:cs="Times New Roman"/>
                <w:color w:val="000000"/>
                <w:sz w:val="20"/>
                <w:szCs w:val="20"/>
                <w:lang w:eastAsia="fr-FR"/>
              </w:rPr>
            </w:pPr>
          </w:p>
        </w:tc>
        <w:tc>
          <w:tcPr>
            <w:tcW w:w="1498" w:type="dxa"/>
            <w:shd w:val="clear" w:color="auto" w:fill="auto"/>
            <w:vAlign w:val="center"/>
            <w:hideMark/>
          </w:tcPr>
          <w:p w:rsidR="00DD4A57" w:rsidRPr="006973B5" w:rsidRDefault="00DD4A57" w:rsidP="00DD4A57">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Secondaire</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19,9</w:t>
            </w:r>
          </w:p>
        </w:tc>
        <w:tc>
          <w:tcPr>
            <w:tcW w:w="85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74</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37,6</w:t>
            </w:r>
          </w:p>
        </w:tc>
        <w:tc>
          <w:tcPr>
            <w:tcW w:w="850"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66,9</w:t>
            </w:r>
          </w:p>
        </w:tc>
        <w:tc>
          <w:tcPr>
            <w:tcW w:w="846"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50,4</w:t>
            </w:r>
          </w:p>
        </w:tc>
        <w:tc>
          <w:tcPr>
            <w:tcW w:w="84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66,1</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49,6</w:t>
            </w:r>
          </w:p>
        </w:tc>
        <w:tc>
          <w:tcPr>
            <w:tcW w:w="84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56,2</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60</w:t>
            </w:r>
          </w:p>
        </w:tc>
        <w:tc>
          <w:tcPr>
            <w:tcW w:w="84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60,5</w:t>
            </w:r>
          </w:p>
        </w:tc>
      </w:tr>
      <w:tr w:rsidR="00DD4A57" w:rsidRPr="006973B5" w:rsidTr="00AD3E3E">
        <w:trPr>
          <w:trHeight w:val="102"/>
          <w:jc w:val="center"/>
        </w:trPr>
        <w:tc>
          <w:tcPr>
            <w:tcW w:w="1054" w:type="dxa"/>
            <w:vMerge/>
            <w:vAlign w:val="center"/>
            <w:hideMark/>
          </w:tcPr>
          <w:p w:rsidR="00DD4A57" w:rsidRPr="006973B5" w:rsidRDefault="00DD4A57" w:rsidP="00DD4A57">
            <w:pPr>
              <w:spacing w:after="0" w:line="240" w:lineRule="auto"/>
              <w:rPr>
                <w:rFonts w:ascii="Times New Roman" w:eastAsia="Times New Roman" w:hAnsi="Times New Roman" w:cs="Times New Roman"/>
                <w:color w:val="000000"/>
                <w:sz w:val="20"/>
                <w:szCs w:val="20"/>
                <w:lang w:eastAsia="fr-FR"/>
              </w:rPr>
            </w:pPr>
          </w:p>
        </w:tc>
        <w:tc>
          <w:tcPr>
            <w:tcW w:w="1498" w:type="dxa"/>
            <w:shd w:val="clear" w:color="auto" w:fill="auto"/>
            <w:vAlign w:val="center"/>
            <w:hideMark/>
          </w:tcPr>
          <w:p w:rsidR="00DD4A57" w:rsidRPr="006973B5" w:rsidRDefault="00DD4A57" w:rsidP="00DD4A57">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Supérieur</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23,8</w:t>
            </w:r>
          </w:p>
        </w:tc>
        <w:tc>
          <w:tcPr>
            <w:tcW w:w="85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72,6</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65,4</w:t>
            </w:r>
          </w:p>
        </w:tc>
        <w:tc>
          <w:tcPr>
            <w:tcW w:w="850"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68,3</w:t>
            </w:r>
          </w:p>
        </w:tc>
        <w:tc>
          <w:tcPr>
            <w:tcW w:w="846"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35,7</w:t>
            </w:r>
          </w:p>
        </w:tc>
        <w:tc>
          <w:tcPr>
            <w:tcW w:w="84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67,5</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63,8</w:t>
            </w:r>
          </w:p>
        </w:tc>
        <w:tc>
          <w:tcPr>
            <w:tcW w:w="84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23,3</w:t>
            </w:r>
          </w:p>
        </w:tc>
        <w:tc>
          <w:tcPr>
            <w:tcW w:w="718"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78,7</w:t>
            </w:r>
          </w:p>
        </w:tc>
        <w:tc>
          <w:tcPr>
            <w:tcW w:w="845" w:type="dxa"/>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29</w:t>
            </w:r>
          </w:p>
        </w:tc>
      </w:tr>
      <w:tr w:rsidR="00DD4A57" w:rsidRPr="006973B5" w:rsidTr="00AD3E3E">
        <w:trPr>
          <w:trHeight w:val="102"/>
          <w:jc w:val="center"/>
        </w:trPr>
        <w:tc>
          <w:tcPr>
            <w:tcW w:w="1054" w:type="dxa"/>
            <w:vMerge/>
            <w:tcBorders>
              <w:bottom w:val="single" w:sz="12" w:space="0" w:color="538135" w:themeColor="accent6" w:themeShade="BF"/>
            </w:tcBorders>
            <w:vAlign w:val="center"/>
            <w:hideMark/>
          </w:tcPr>
          <w:p w:rsidR="00DD4A57" w:rsidRPr="006973B5" w:rsidRDefault="00DD4A57" w:rsidP="00DD4A57">
            <w:pPr>
              <w:spacing w:after="0" w:line="240" w:lineRule="auto"/>
              <w:rPr>
                <w:rFonts w:ascii="Times New Roman" w:eastAsia="Times New Roman" w:hAnsi="Times New Roman" w:cs="Times New Roman"/>
                <w:color w:val="000000"/>
                <w:sz w:val="20"/>
                <w:szCs w:val="20"/>
                <w:lang w:eastAsia="fr-FR"/>
              </w:rPr>
            </w:pPr>
          </w:p>
        </w:tc>
        <w:tc>
          <w:tcPr>
            <w:tcW w:w="1498" w:type="dxa"/>
            <w:tcBorders>
              <w:bottom w:val="single" w:sz="12" w:space="0" w:color="538135" w:themeColor="accent6" w:themeShade="BF"/>
            </w:tcBorders>
            <w:shd w:val="clear" w:color="auto" w:fill="auto"/>
            <w:vAlign w:val="center"/>
            <w:hideMark/>
          </w:tcPr>
          <w:p w:rsidR="00DD4A57" w:rsidRPr="006973B5" w:rsidRDefault="00DD4A57" w:rsidP="00DD4A57">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Total</w:t>
            </w:r>
          </w:p>
        </w:tc>
        <w:tc>
          <w:tcPr>
            <w:tcW w:w="718" w:type="dxa"/>
            <w:tcBorders>
              <w:bottom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9,5</w:t>
            </w:r>
          </w:p>
        </w:tc>
        <w:tc>
          <w:tcPr>
            <w:tcW w:w="855" w:type="dxa"/>
            <w:tcBorders>
              <w:bottom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30,5</w:t>
            </w:r>
          </w:p>
        </w:tc>
        <w:tc>
          <w:tcPr>
            <w:tcW w:w="718" w:type="dxa"/>
            <w:tcBorders>
              <w:bottom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11,1</w:t>
            </w:r>
          </w:p>
        </w:tc>
        <w:tc>
          <w:tcPr>
            <w:tcW w:w="850" w:type="dxa"/>
            <w:tcBorders>
              <w:bottom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38,4</w:t>
            </w:r>
          </w:p>
        </w:tc>
        <w:tc>
          <w:tcPr>
            <w:tcW w:w="846" w:type="dxa"/>
            <w:tcBorders>
              <w:bottom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22,5</w:t>
            </w:r>
          </w:p>
        </w:tc>
        <w:tc>
          <w:tcPr>
            <w:tcW w:w="845" w:type="dxa"/>
            <w:tcBorders>
              <w:bottom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38,2</w:t>
            </w:r>
          </w:p>
        </w:tc>
        <w:tc>
          <w:tcPr>
            <w:tcW w:w="718" w:type="dxa"/>
            <w:tcBorders>
              <w:bottom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30,4</w:t>
            </w:r>
          </w:p>
        </w:tc>
        <w:tc>
          <w:tcPr>
            <w:tcW w:w="845" w:type="dxa"/>
            <w:tcBorders>
              <w:bottom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38,1</w:t>
            </w:r>
          </w:p>
        </w:tc>
        <w:tc>
          <w:tcPr>
            <w:tcW w:w="718" w:type="dxa"/>
            <w:tcBorders>
              <w:bottom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21,9</w:t>
            </w:r>
          </w:p>
        </w:tc>
        <w:tc>
          <w:tcPr>
            <w:tcW w:w="845" w:type="dxa"/>
            <w:tcBorders>
              <w:bottom w:val="single" w:sz="12" w:space="0" w:color="538135" w:themeColor="accent6" w:themeShade="BF"/>
            </w:tcBorders>
            <w:shd w:val="clear" w:color="auto" w:fill="auto"/>
            <w:noWrap/>
            <w:vAlign w:val="center"/>
            <w:hideMark/>
          </w:tcPr>
          <w:p w:rsidR="00DD4A57" w:rsidRPr="006973B5" w:rsidRDefault="00DD4A57" w:rsidP="00DD4A57">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39,4</w:t>
            </w:r>
          </w:p>
        </w:tc>
      </w:tr>
    </w:tbl>
    <w:p w:rsidR="00CA1CE8" w:rsidRPr="006973B5" w:rsidRDefault="00CA1CE8" w:rsidP="00CA1CE8">
      <w:pPr>
        <w:spacing w:after="0"/>
        <w:rPr>
          <w:rFonts w:ascii="Times New Roman" w:hAnsi="Times New Roman" w:cs="Times New Roman"/>
          <w:i/>
          <w:sz w:val="20"/>
          <w:szCs w:val="20"/>
          <w:lang w:val="en-GB"/>
        </w:rPr>
      </w:pPr>
      <w:r w:rsidRPr="006973B5">
        <w:rPr>
          <w:rFonts w:ascii="Times New Roman" w:hAnsi="Times New Roman" w:cs="Times New Roman"/>
          <w:sz w:val="20"/>
          <w:szCs w:val="20"/>
          <w:u w:val="single"/>
        </w:rPr>
        <w:t>Source :</w:t>
      </w:r>
      <w:r w:rsidRPr="006973B5">
        <w:rPr>
          <w:rFonts w:ascii="Times New Roman" w:hAnsi="Times New Roman" w:cs="Times New Roman"/>
          <w:sz w:val="20"/>
          <w:szCs w:val="20"/>
        </w:rPr>
        <w:t xml:space="preserve"> ONEF, à partir des données</w:t>
      </w:r>
      <w:r w:rsidRPr="006973B5">
        <w:rPr>
          <w:rFonts w:ascii="Times New Roman" w:hAnsi="Times New Roman" w:cs="Times New Roman"/>
          <w:i/>
          <w:sz w:val="20"/>
          <w:szCs w:val="20"/>
          <w:lang w:val="en-GB"/>
        </w:rPr>
        <w:t xml:space="preserve"> EMOP-</w:t>
      </w:r>
      <w:r w:rsidR="00AD3E3E">
        <w:rPr>
          <w:rFonts w:ascii="Times New Roman" w:hAnsi="Times New Roman" w:cs="Times New Roman"/>
          <w:i/>
          <w:sz w:val="20"/>
          <w:szCs w:val="20"/>
          <w:lang w:val="en-GB"/>
        </w:rPr>
        <w:t>2013-</w:t>
      </w:r>
      <w:r w:rsidRPr="006973B5">
        <w:rPr>
          <w:rFonts w:ascii="Times New Roman" w:hAnsi="Times New Roman" w:cs="Times New Roman"/>
          <w:i/>
          <w:sz w:val="20"/>
          <w:szCs w:val="20"/>
          <w:lang w:val="en-GB"/>
        </w:rPr>
        <w:t>2017</w:t>
      </w:r>
    </w:p>
    <w:p w:rsidR="00E85A3B" w:rsidRPr="006973B5" w:rsidRDefault="00E85A3B" w:rsidP="00E85A3B">
      <w:pPr>
        <w:spacing w:after="0"/>
        <w:rPr>
          <w:rFonts w:ascii="Times New Roman" w:hAnsi="Times New Roman" w:cs="Times New Roman"/>
          <w:bCs/>
          <w:iCs/>
          <w:szCs w:val="20"/>
        </w:rPr>
      </w:pPr>
    </w:p>
    <w:p w:rsidR="0007435E" w:rsidRDefault="0007435E">
      <w:pPr>
        <w:rPr>
          <w:rFonts w:ascii="Times New Roman" w:eastAsia="Times New Roman" w:hAnsi="Times New Roman" w:cs="Times New Roman"/>
          <w:b/>
          <w:sz w:val="32"/>
          <w:szCs w:val="32"/>
          <w:lang w:eastAsia="fr-FR"/>
        </w:rPr>
      </w:pPr>
      <w:bookmarkStart w:id="24" w:name="_Toc516676415"/>
      <w:r>
        <w:rPr>
          <w:rFonts w:ascii="Times New Roman" w:eastAsia="Times New Roman" w:hAnsi="Times New Roman" w:cs="Times New Roman"/>
          <w:b/>
          <w:lang w:eastAsia="fr-FR"/>
        </w:rPr>
        <w:br w:type="page"/>
      </w:r>
    </w:p>
    <w:p w:rsidR="007E4480" w:rsidRPr="006973B5" w:rsidRDefault="007E4480" w:rsidP="00937EDF">
      <w:pPr>
        <w:pStyle w:val="Titre1"/>
        <w:numPr>
          <w:ilvl w:val="0"/>
          <w:numId w:val="14"/>
        </w:numPr>
        <w:rPr>
          <w:rFonts w:ascii="Times New Roman" w:eastAsia="Times New Roman" w:hAnsi="Times New Roman" w:cs="Times New Roman"/>
          <w:b/>
          <w:color w:val="auto"/>
          <w:lang w:eastAsia="fr-FR"/>
        </w:rPr>
      </w:pPr>
      <w:r w:rsidRPr="006973B5">
        <w:rPr>
          <w:rFonts w:ascii="Times New Roman" w:eastAsia="Times New Roman" w:hAnsi="Times New Roman" w:cs="Times New Roman"/>
          <w:b/>
          <w:color w:val="auto"/>
          <w:lang w:eastAsia="fr-FR"/>
        </w:rPr>
        <w:lastRenderedPageBreak/>
        <w:t>Profil de l'emploi des jeunes</w:t>
      </w:r>
      <w:bookmarkEnd w:id="24"/>
    </w:p>
    <w:p w:rsidR="00EC7B01" w:rsidRPr="006973B5" w:rsidRDefault="00EC7B01" w:rsidP="007E4480">
      <w:pPr>
        <w:spacing w:after="0"/>
        <w:rPr>
          <w:rFonts w:ascii="Times New Roman" w:hAnsi="Times New Roman" w:cs="Times New Roman"/>
          <w:sz w:val="20"/>
          <w:szCs w:val="20"/>
        </w:rPr>
      </w:pPr>
    </w:p>
    <w:p w:rsidR="00EC56DF" w:rsidRPr="006973B5" w:rsidRDefault="00EC7B01" w:rsidP="002F326D">
      <w:pPr>
        <w:spacing w:after="0"/>
        <w:jc w:val="both"/>
        <w:rPr>
          <w:rFonts w:ascii="Times New Roman" w:hAnsi="Times New Roman" w:cs="Times New Roman"/>
          <w:sz w:val="24"/>
          <w:szCs w:val="20"/>
        </w:rPr>
      </w:pPr>
      <w:r w:rsidRPr="006973B5">
        <w:rPr>
          <w:rFonts w:ascii="Times New Roman" w:hAnsi="Times New Roman" w:cs="Times New Roman"/>
          <w:sz w:val="24"/>
          <w:szCs w:val="20"/>
        </w:rPr>
        <w:t>Dans ce chapitre, nous analys</w:t>
      </w:r>
      <w:r w:rsidR="00AB75BB" w:rsidRPr="006973B5">
        <w:rPr>
          <w:rFonts w:ascii="Times New Roman" w:hAnsi="Times New Roman" w:cs="Times New Roman"/>
          <w:sz w:val="24"/>
          <w:szCs w:val="20"/>
        </w:rPr>
        <w:t>ons</w:t>
      </w:r>
      <w:r w:rsidRPr="006973B5">
        <w:rPr>
          <w:rFonts w:ascii="Times New Roman" w:hAnsi="Times New Roman" w:cs="Times New Roman"/>
          <w:sz w:val="24"/>
          <w:szCs w:val="20"/>
        </w:rPr>
        <w:t xml:space="preserve"> </w:t>
      </w:r>
      <w:r w:rsidR="00011057" w:rsidRPr="006973B5">
        <w:rPr>
          <w:rFonts w:ascii="Times New Roman" w:hAnsi="Times New Roman" w:cs="Times New Roman"/>
          <w:sz w:val="24"/>
          <w:szCs w:val="20"/>
        </w:rPr>
        <w:t>les données issues de l’EMOP 2017 pour décrire l</w:t>
      </w:r>
      <w:r w:rsidRPr="006973B5">
        <w:rPr>
          <w:rFonts w:ascii="Times New Roman" w:hAnsi="Times New Roman" w:cs="Times New Roman"/>
          <w:sz w:val="24"/>
          <w:szCs w:val="20"/>
        </w:rPr>
        <w:t xml:space="preserve">e profil de l’emploi des jeunes </w:t>
      </w:r>
      <w:r w:rsidR="00011057" w:rsidRPr="006973B5">
        <w:rPr>
          <w:rFonts w:ascii="Times New Roman" w:hAnsi="Times New Roman" w:cs="Times New Roman"/>
          <w:sz w:val="24"/>
          <w:szCs w:val="20"/>
        </w:rPr>
        <w:t xml:space="preserve">sur le marché du travail. </w:t>
      </w:r>
      <w:r w:rsidR="008A5CF3" w:rsidRPr="006973B5">
        <w:rPr>
          <w:rFonts w:ascii="Times New Roman" w:hAnsi="Times New Roman" w:cs="Times New Roman"/>
          <w:sz w:val="24"/>
          <w:szCs w:val="20"/>
        </w:rPr>
        <w:t>Dans un premier temps nous analysons les secteurs d’a</w:t>
      </w:r>
      <w:r w:rsidR="001E3168" w:rsidRPr="006973B5">
        <w:rPr>
          <w:rFonts w:ascii="Times New Roman" w:hAnsi="Times New Roman" w:cs="Times New Roman"/>
          <w:sz w:val="24"/>
          <w:szCs w:val="20"/>
        </w:rPr>
        <w:t xml:space="preserve">ctivités dans lesquelles </w:t>
      </w:r>
      <w:r w:rsidR="00666631" w:rsidRPr="006973B5">
        <w:rPr>
          <w:rFonts w:ascii="Times New Roman" w:hAnsi="Times New Roman" w:cs="Times New Roman"/>
          <w:sz w:val="24"/>
          <w:szCs w:val="20"/>
        </w:rPr>
        <w:t xml:space="preserve">évolues les jeunes </w:t>
      </w:r>
      <w:r w:rsidR="00EC56DF" w:rsidRPr="006973B5">
        <w:rPr>
          <w:rFonts w:ascii="Times New Roman" w:hAnsi="Times New Roman" w:cs="Times New Roman"/>
          <w:sz w:val="24"/>
          <w:szCs w:val="20"/>
        </w:rPr>
        <w:t>et dans un second temps nous allons examiner les caractéristiques de l’emploi des jeunes selon le secteur institutionnel.</w:t>
      </w:r>
    </w:p>
    <w:p w:rsidR="007E4480" w:rsidRPr="006973B5" w:rsidRDefault="008A5CF3" w:rsidP="007E4480">
      <w:pPr>
        <w:spacing w:after="0"/>
        <w:rPr>
          <w:rFonts w:ascii="Times New Roman" w:hAnsi="Times New Roman" w:cs="Times New Roman"/>
          <w:sz w:val="14"/>
          <w:szCs w:val="20"/>
        </w:rPr>
      </w:pPr>
      <w:r w:rsidRPr="006973B5">
        <w:rPr>
          <w:rFonts w:ascii="Times New Roman" w:hAnsi="Times New Roman" w:cs="Times New Roman"/>
          <w:sz w:val="24"/>
          <w:szCs w:val="20"/>
        </w:rPr>
        <w:t xml:space="preserve"> </w:t>
      </w:r>
    </w:p>
    <w:p w:rsidR="00E42400" w:rsidRPr="006973B5" w:rsidRDefault="00E42400" w:rsidP="00937EDF">
      <w:pPr>
        <w:pStyle w:val="Titre2"/>
        <w:numPr>
          <w:ilvl w:val="1"/>
          <w:numId w:val="14"/>
        </w:numPr>
        <w:rPr>
          <w:rFonts w:ascii="Times New Roman" w:hAnsi="Times New Roman" w:cs="Times New Roman"/>
          <w:b/>
          <w:color w:val="auto"/>
        </w:rPr>
      </w:pPr>
      <w:bookmarkStart w:id="25" w:name="_Toc511311781"/>
      <w:bookmarkStart w:id="26" w:name="_Toc516676416"/>
      <w:r w:rsidRPr="006973B5">
        <w:rPr>
          <w:rFonts w:ascii="Times New Roman" w:hAnsi="Times New Roman" w:cs="Times New Roman"/>
          <w:b/>
          <w:color w:val="auto"/>
        </w:rPr>
        <w:t>Emploi des jeunes selon le secteur d’activités économiques</w:t>
      </w:r>
      <w:bookmarkEnd w:id="25"/>
      <w:bookmarkEnd w:id="26"/>
    </w:p>
    <w:p w:rsidR="00E42400" w:rsidRPr="006973B5" w:rsidRDefault="00E42400">
      <w:pPr>
        <w:rPr>
          <w:rFonts w:ascii="Times New Roman" w:hAnsi="Times New Roman" w:cs="Times New Roman"/>
          <w:b/>
          <w:bCs/>
          <w:iCs/>
          <w:sz w:val="6"/>
          <w:szCs w:val="20"/>
        </w:rPr>
      </w:pPr>
    </w:p>
    <w:p w:rsidR="00C302A4" w:rsidRPr="006973B5" w:rsidRDefault="00C302A4" w:rsidP="00C302A4">
      <w:pPr>
        <w:jc w:val="both"/>
        <w:rPr>
          <w:rFonts w:ascii="Times New Roman" w:hAnsi="Times New Roman" w:cs="Times New Roman"/>
          <w:sz w:val="24"/>
          <w:szCs w:val="20"/>
        </w:rPr>
      </w:pPr>
      <w:r w:rsidRPr="006973B5">
        <w:rPr>
          <w:rFonts w:ascii="Times New Roman" w:hAnsi="Times New Roman" w:cs="Times New Roman"/>
          <w:sz w:val="24"/>
          <w:szCs w:val="20"/>
        </w:rPr>
        <w:t>L’analyse du tableau 12 faire ressortir que 70,3% des jeunes travaillent dans le secteur agricole. Ce secteur est suivi des Services (11,3%) et du Comme (10,7%). Le secteur secondaire (industrie) n’emploie que 7,6% des jeunes dans le pays.</w:t>
      </w:r>
    </w:p>
    <w:p w:rsidR="00E42400" w:rsidRPr="006973B5" w:rsidRDefault="00211B05" w:rsidP="00211B05">
      <w:pPr>
        <w:pStyle w:val="Lgende"/>
        <w:spacing w:after="0"/>
        <w:rPr>
          <w:color w:val="auto"/>
          <w:sz w:val="20"/>
          <w:szCs w:val="22"/>
        </w:rPr>
      </w:pPr>
      <w:bookmarkStart w:id="27" w:name="_Toc516676458"/>
      <w:r w:rsidRPr="006973B5">
        <w:rPr>
          <w:color w:val="auto"/>
          <w:sz w:val="20"/>
          <w:szCs w:val="22"/>
        </w:rPr>
        <w:t xml:space="preserve">Tableau </w:t>
      </w:r>
      <w:r w:rsidRPr="006973B5">
        <w:rPr>
          <w:color w:val="auto"/>
          <w:sz w:val="20"/>
          <w:szCs w:val="22"/>
        </w:rPr>
        <w:fldChar w:fldCharType="begin"/>
      </w:r>
      <w:r w:rsidRPr="006973B5">
        <w:rPr>
          <w:color w:val="auto"/>
          <w:sz w:val="20"/>
          <w:szCs w:val="22"/>
        </w:rPr>
        <w:instrText xml:space="preserve"> SEQ Tableau \* ARABIC </w:instrText>
      </w:r>
      <w:r w:rsidRPr="006973B5">
        <w:rPr>
          <w:color w:val="auto"/>
          <w:sz w:val="20"/>
          <w:szCs w:val="22"/>
        </w:rPr>
        <w:fldChar w:fldCharType="separate"/>
      </w:r>
      <w:r w:rsidRPr="006973B5">
        <w:rPr>
          <w:noProof/>
          <w:color w:val="auto"/>
          <w:sz w:val="20"/>
          <w:szCs w:val="22"/>
        </w:rPr>
        <w:t>6</w:t>
      </w:r>
      <w:r w:rsidRPr="006973B5">
        <w:rPr>
          <w:color w:val="auto"/>
          <w:sz w:val="20"/>
          <w:szCs w:val="22"/>
        </w:rPr>
        <w:fldChar w:fldCharType="end"/>
      </w:r>
      <w:r w:rsidRPr="006973B5">
        <w:rPr>
          <w:bCs/>
          <w:i w:val="0"/>
          <w:iCs w:val="0"/>
          <w:color w:val="auto"/>
          <w:sz w:val="20"/>
          <w:szCs w:val="22"/>
        </w:rPr>
        <w:t>. Répartition des emplois des jeunes selon le secteur d’activités économiques (année 2017)</w:t>
      </w:r>
      <w:bookmarkEnd w:id="27"/>
    </w:p>
    <w:tbl>
      <w:tblPr>
        <w:tblStyle w:val="Style1"/>
        <w:tblW w:w="9720" w:type="dxa"/>
        <w:tblLayout w:type="fixed"/>
        <w:tblLook w:val="04A0" w:firstRow="1" w:lastRow="0" w:firstColumn="1" w:lastColumn="0" w:noHBand="0" w:noVBand="1"/>
      </w:tblPr>
      <w:tblGrid>
        <w:gridCol w:w="1914"/>
        <w:gridCol w:w="1920"/>
        <w:gridCol w:w="1377"/>
        <w:gridCol w:w="1043"/>
        <w:gridCol w:w="1276"/>
        <w:gridCol w:w="1117"/>
        <w:gridCol w:w="1073"/>
      </w:tblGrid>
      <w:tr w:rsidR="00E42400" w:rsidRPr="006973B5" w:rsidTr="001D356D">
        <w:trPr>
          <w:cnfStyle w:val="100000000000" w:firstRow="1" w:lastRow="0" w:firstColumn="0" w:lastColumn="0" w:oddVBand="0" w:evenVBand="0" w:oddHBand="0" w:evenHBand="0" w:firstRowFirstColumn="0" w:firstRowLastColumn="0" w:lastRowFirstColumn="0" w:lastRowLastColumn="0"/>
          <w:trHeight w:val="257"/>
        </w:trPr>
        <w:tc>
          <w:tcPr>
            <w:tcW w:w="3834" w:type="dxa"/>
            <w:gridSpan w:val="2"/>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 </w:t>
            </w:r>
          </w:p>
        </w:tc>
        <w:tc>
          <w:tcPr>
            <w:tcW w:w="5886" w:type="dxa"/>
            <w:gridSpan w:val="5"/>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Proportion des emplois selon le secteur d'activité économique</w:t>
            </w:r>
          </w:p>
        </w:tc>
      </w:tr>
      <w:tr w:rsidR="00E42400" w:rsidRPr="006973B5" w:rsidTr="001D356D">
        <w:trPr>
          <w:trHeight w:val="257"/>
        </w:trPr>
        <w:tc>
          <w:tcPr>
            <w:tcW w:w="3834" w:type="dxa"/>
            <w:gridSpan w:val="2"/>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377" w:type="dxa"/>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Agriculture</w:t>
            </w:r>
          </w:p>
        </w:tc>
        <w:tc>
          <w:tcPr>
            <w:tcW w:w="1043" w:type="dxa"/>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Industrie</w:t>
            </w:r>
          </w:p>
        </w:tc>
        <w:tc>
          <w:tcPr>
            <w:tcW w:w="1276" w:type="dxa"/>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Commerce</w:t>
            </w:r>
          </w:p>
        </w:tc>
        <w:tc>
          <w:tcPr>
            <w:tcW w:w="1117" w:type="dxa"/>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Services</w:t>
            </w:r>
          </w:p>
        </w:tc>
        <w:tc>
          <w:tcPr>
            <w:tcW w:w="1072" w:type="dxa"/>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Total</w:t>
            </w:r>
          </w:p>
        </w:tc>
      </w:tr>
      <w:tr w:rsidR="00E42400" w:rsidRPr="006973B5" w:rsidTr="001D356D">
        <w:trPr>
          <w:trHeight w:val="257"/>
        </w:trPr>
        <w:tc>
          <w:tcPr>
            <w:tcW w:w="1914"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Sexe</w:t>
            </w:r>
          </w:p>
        </w:tc>
        <w:tc>
          <w:tcPr>
            <w:tcW w:w="1920" w:type="dxa"/>
            <w:hideMark/>
          </w:tcPr>
          <w:p w:rsidR="00E42400" w:rsidRPr="006973B5" w:rsidRDefault="00E42400" w:rsidP="004620EF">
            <w:pPr>
              <w:ind w:left="464" w:hanging="464"/>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Homme</w:t>
            </w:r>
          </w:p>
        </w:tc>
        <w:tc>
          <w:tcPr>
            <w:tcW w:w="137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72,7</w:t>
            </w:r>
          </w:p>
        </w:tc>
        <w:tc>
          <w:tcPr>
            <w:tcW w:w="104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9,9</w:t>
            </w:r>
          </w:p>
        </w:tc>
        <w:tc>
          <w:tcPr>
            <w:tcW w:w="1276"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7,9</w:t>
            </w:r>
          </w:p>
        </w:tc>
        <w:tc>
          <w:tcPr>
            <w:tcW w:w="111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9,4</w:t>
            </w:r>
          </w:p>
        </w:tc>
        <w:tc>
          <w:tcPr>
            <w:tcW w:w="1072"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1D356D">
        <w:trPr>
          <w:trHeight w:val="257"/>
        </w:trPr>
        <w:tc>
          <w:tcPr>
            <w:tcW w:w="191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920"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Femme</w:t>
            </w:r>
          </w:p>
        </w:tc>
        <w:tc>
          <w:tcPr>
            <w:tcW w:w="137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67,8</w:t>
            </w:r>
          </w:p>
        </w:tc>
        <w:tc>
          <w:tcPr>
            <w:tcW w:w="104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5,0</w:t>
            </w:r>
          </w:p>
        </w:tc>
        <w:tc>
          <w:tcPr>
            <w:tcW w:w="1276"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13,8</w:t>
            </w:r>
          </w:p>
        </w:tc>
        <w:tc>
          <w:tcPr>
            <w:tcW w:w="111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13,4</w:t>
            </w:r>
          </w:p>
        </w:tc>
        <w:tc>
          <w:tcPr>
            <w:tcW w:w="1072"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1D356D">
        <w:trPr>
          <w:trHeight w:val="257"/>
        </w:trPr>
        <w:tc>
          <w:tcPr>
            <w:tcW w:w="1914"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Zone de résidence</w:t>
            </w:r>
          </w:p>
        </w:tc>
        <w:tc>
          <w:tcPr>
            <w:tcW w:w="1920"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Bamako</w:t>
            </w:r>
          </w:p>
        </w:tc>
        <w:tc>
          <w:tcPr>
            <w:tcW w:w="137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0,4</w:t>
            </w:r>
          </w:p>
        </w:tc>
        <w:tc>
          <w:tcPr>
            <w:tcW w:w="104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18,2</w:t>
            </w:r>
          </w:p>
        </w:tc>
        <w:tc>
          <w:tcPr>
            <w:tcW w:w="1276"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32,8</w:t>
            </w:r>
          </w:p>
        </w:tc>
        <w:tc>
          <w:tcPr>
            <w:tcW w:w="111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48,5</w:t>
            </w:r>
          </w:p>
        </w:tc>
        <w:tc>
          <w:tcPr>
            <w:tcW w:w="1072"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1D356D">
        <w:trPr>
          <w:trHeight w:val="257"/>
        </w:trPr>
        <w:tc>
          <w:tcPr>
            <w:tcW w:w="191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920"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Autre urbain</w:t>
            </w:r>
          </w:p>
        </w:tc>
        <w:tc>
          <w:tcPr>
            <w:tcW w:w="137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36,8</w:t>
            </w:r>
          </w:p>
        </w:tc>
        <w:tc>
          <w:tcPr>
            <w:tcW w:w="104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16,2</w:t>
            </w:r>
          </w:p>
        </w:tc>
        <w:tc>
          <w:tcPr>
            <w:tcW w:w="1276"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26,6</w:t>
            </w:r>
          </w:p>
        </w:tc>
        <w:tc>
          <w:tcPr>
            <w:tcW w:w="111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20,4</w:t>
            </w:r>
          </w:p>
        </w:tc>
        <w:tc>
          <w:tcPr>
            <w:tcW w:w="1072"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1D356D">
        <w:trPr>
          <w:trHeight w:val="257"/>
        </w:trPr>
        <w:tc>
          <w:tcPr>
            <w:tcW w:w="191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920"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Rural</w:t>
            </w:r>
          </w:p>
        </w:tc>
        <w:tc>
          <w:tcPr>
            <w:tcW w:w="137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83,1</w:t>
            </w:r>
          </w:p>
        </w:tc>
        <w:tc>
          <w:tcPr>
            <w:tcW w:w="104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5,2</w:t>
            </w:r>
          </w:p>
        </w:tc>
        <w:tc>
          <w:tcPr>
            <w:tcW w:w="1276"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6,1</w:t>
            </w:r>
          </w:p>
        </w:tc>
        <w:tc>
          <w:tcPr>
            <w:tcW w:w="111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5,6</w:t>
            </w:r>
          </w:p>
        </w:tc>
        <w:tc>
          <w:tcPr>
            <w:tcW w:w="1072"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1D356D">
        <w:trPr>
          <w:trHeight w:val="257"/>
        </w:trPr>
        <w:tc>
          <w:tcPr>
            <w:tcW w:w="1914"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Région</w:t>
            </w:r>
          </w:p>
        </w:tc>
        <w:tc>
          <w:tcPr>
            <w:tcW w:w="1920"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Kayes</w:t>
            </w:r>
          </w:p>
        </w:tc>
        <w:tc>
          <w:tcPr>
            <w:tcW w:w="137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89,0</w:t>
            </w:r>
          </w:p>
        </w:tc>
        <w:tc>
          <w:tcPr>
            <w:tcW w:w="104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5,0</w:t>
            </w:r>
          </w:p>
        </w:tc>
        <w:tc>
          <w:tcPr>
            <w:tcW w:w="1276"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4,4</w:t>
            </w:r>
          </w:p>
        </w:tc>
        <w:tc>
          <w:tcPr>
            <w:tcW w:w="111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1,7</w:t>
            </w:r>
          </w:p>
        </w:tc>
        <w:tc>
          <w:tcPr>
            <w:tcW w:w="1072"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1D356D">
        <w:trPr>
          <w:trHeight w:val="257"/>
        </w:trPr>
        <w:tc>
          <w:tcPr>
            <w:tcW w:w="191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920"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Koulikoro</w:t>
            </w:r>
          </w:p>
        </w:tc>
        <w:tc>
          <w:tcPr>
            <w:tcW w:w="137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56,0</w:t>
            </w:r>
          </w:p>
        </w:tc>
        <w:tc>
          <w:tcPr>
            <w:tcW w:w="104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16,6</w:t>
            </w:r>
          </w:p>
        </w:tc>
        <w:tc>
          <w:tcPr>
            <w:tcW w:w="1276"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17,5</w:t>
            </w:r>
          </w:p>
        </w:tc>
        <w:tc>
          <w:tcPr>
            <w:tcW w:w="111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9,9</w:t>
            </w:r>
          </w:p>
        </w:tc>
        <w:tc>
          <w:tcPr>
            <w:tcW w:w="1072"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1D356D">
        <w:trPr>
          <w:trHeight w:val="257"/>
        </w:trPr>
        <w:tc>
          <w:tcPr>
            <w:tcW w:w="191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920"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Sikasso</w:t>
            </w:r>
          </w:p>
        </w:tc>
        <w:tc>
          <w:tcPr>
            <w:tcW w:w="137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81,3</w:t>
            </w:r>
          </w:p>
        </w:tc>
        <w:tc>
          <w:tcPr>
            <w:tcW w:w="104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6,5</w:t>
            </w:r>
          </w:p>
        </w:tc>
        <w:tc>
          <w:tcPr>
            <w:tcW w:w="1276"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7,9</w:t>
            </w:r>
          </w:p>
        </w:tc>
        <w:tc>
          <w:tcPr>
            <w:tcW w:w="111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4,3</w:t>
            </w:r>
          </w:p>
        </w:tc>
        <w:tc>
          <w:tcPr>
            <w:tcW w:w="1072"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1D356D">
        <w:trPr>
          <w:trHeight w:val="257"/>
        </w:trPr>
        <w:tc>
          <w:tcPr>
            <w:tcW w:w="191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920"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Ségou</w:t>
            </w:r>
          </w:p>
        </w:tc>
        <w:tc>
          <w:tcPr>
            <w:tcW w:w="137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85,4</w:t>
            </w:r>
          </w:p>
        </w:tc>
        <w:tc>
          <w:tcPr>
            <w:tcW w:w="104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4,7</w:t>
            </w:r>
          </w:p>
        </w:tc>
        <w:tc>
          <w:tcPr>
            <w:tcW w:w="1276"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5,2</w:t>
            </w:r>
          </w:p>
        </w:tc>
        <w:tc>
          <w:tcPr>
            <w:tcW w:w="111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4,7</w:t>
            </w:r>
          </w:p>
        </w:tc>
        <w:tc>
          <w:tcPr>
            <w:tcW w:w="1072"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1D356D">
        <w:trPr>
          <w:trHeight w:val="257"/>
        </w:trPr>
        <w:tc>
          <w:tcPr>
            <w:tcW w:w="191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920"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Mopti</w:t>
            </w:r>
          </w:p>
        </w:tc>
        <w:tc>
          <w:tcPr>
            <w:tcW w:w="137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81,1</w:t>
            </w:r>
          </w:p>
        </w:tc>
        <w:tc>
          <w:tcPr>
            <w:tcW w:w="104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4,5</w:t>
            </w:r>
          </w:p>
        </w:tc>
        <w:tc>
          <w:tcPr>
            <w:tcW w:w="1276"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13,0</w:t>
            </w:r>
          </w:p>
        </w:tc>
        <w:tc>
          <w:tcPr>
            <w:tcW w:w="111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1,4</w:t>
            </w:r>
          </w:p>
        </w:tc>
        <w:tc>
          <w:tcPr>
            <w:tcW w:w="1072"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1D356D">
        <w:trPr>
          <w:trHeight w:val="257"/>
        </w:trPr>
        <w:tc>
          <w:tcPr>
            <w:tcW w:w="191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920"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Tombouctou</w:t>
            </w:r>
          </w:p>
        </w:tc>
        <w:tc>
          <w:tcPr>
            <w:tcW w:w="137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0,4</w:t>
            </w:r>
          </w:p>
        </w:tc>
        <w:tc>
          <w:tcPr>
            <w:tcW w:w="104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6,6</w:t>
            </w:r>
          </w:p>
        </w:tc>
        <w:tc>
          <w:tcPr>
            <w:tcW w:w="1276"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8,3</w:t>
            </w:r>
          </w:p>
        </w:tc>
        <w:tc>
          <w:tcPr>
            <w:tcW w:w="111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84,7</w:t>
            </w:r>
          </w:p>
        </w:tc>
        <w:tc>
          <w:tcPr>
            <w:tcW w:w="1072"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1D356D">
        <w:trPr>
          <w:trHeight w:val="257"/>
        </w:trPr>
        <w:tc>
          <w:tcPr>
            <w:tcW w:w="191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920"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Gao</w:t>
            </w:r>
          </w:p>
        </w:tc>
        <w:tc>
          <w:tcPr>
            <w:tcW w:w="137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54,9</w:t>
            </w:r>
          </w:p>
        </w:tc>
        <w:tc>
          <w:tcPr>
            <w:tcW w:w="104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6,2</w:t>
            </w:r>
          </w:p>
        </w:tc>
        <w:tc>
          <w:tcPr>
            <w:tcW w:w="1276"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20,1</w:t>
            </w:r>
          </w:p>
        </w:tc>
        <w:tc>
          <w:tcPr>
            <w:tcW w:w="111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18,8</w:t>
            </w:r>
          </w:p>
        </w:tc>
        <w:tc>
          <w:tcPr>
            <w:tcW w:w="1072"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1D356D">
        <w:trPr>
          <w:trHeight w:val="257"/>
        </w:trPr>
        <w:tc>
          <w:tcPr>
            <w:tcW w:w="191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920"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Bamako</w:t>
            </w:r>
          </w:p>
        </w:tc>
        <w:tc>
          <w:tcPr>
            <w:tcW w:w="137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0,4</w:t>
            </w:r>
          </w:p>
        </w:tc>
        <w:tc>
          <w:tcPr>
            <w:tcW w:w="104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18,2</w:t>
            </w:r>
          </w:p>
        </w:tc>
        <w:tc>
          <w:tcPr>
            <w:tcW w:w="1276"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32,8</w:t>
            </w:r>
          </w:p>
        </w:tc>
        <w:tc>
          <w:tcPr>
            <w:tcW w:w="111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48,5</w:t>
            </w:r>
          </w:p>
        </w:tc>
        <w:tc>
          <w:tcPr>
            <w:tcW w:w="1072"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1D356D">
        <w:trPr>
          <w:trHeight w:val="257"/>
        </w:trPr>
        <w:tc>
          <w:tcPr>
            <w:tcW w:w="1914"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Statut de pauvreté</w:t>
            </w:r>
          </w:p>
        </w:tc>
        <w:tc>
          <w:tcPr>
            <w:tcW w:w="1920"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Non pauvres</w:t>
            </w:r>
          </w:p>
        </w:tc>
        <w:tc>
          <w:tcPr>
            <w:tcW w:w="1377"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043"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276"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117"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072"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r>
      <w:tr w:rsidR="00E42400" w:rsidRPr="006973B5" w:rsidTr="001D356D">
        <w:trPr>
          <w:trHeight w:val="257"/>
        </w:trPr>
        <w:tc>
          <w:tcPr>
            <w:tcW w:w="191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920"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Pauvres</w:t>
            </w:r>
          </w:p>
        </w:tc>
        <w:tc>
          <w:tcPr>
            <w:tcW w:w="1377"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043"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276"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117"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072"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r>
      <w:tr w:rsidR="00E42400" w:rsidRPr="006973B5" w:rsidTr="001D356D">
        <w:trPr>
          <w:trHeight w:val="257"/>
        </w:trPr>
        <w:tc>
          <w:tcPr>
            <w:tcW w:w="1914"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Niveau d'éducation</w:t>
            </w:r>
          </w:p>
        </w:tc>
        <w:tc>
          <w:tcPr>
            <w:tcW w:w="1920"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Aucun</w:t>
            </w:r>
          </w:p>
        </w:tc>
        <w:tc>
          <w:tcPr>
            <w:tcW w:w="137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79,4</w:t>
            </w:r>
          </w:p>
        </w:tc>
        <w:tc>
          <w:tcPr>
            <w:tcW w:w="104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4,7</w:t>
            </w:r>
          </w:p>
        </w:tc>
        <w:tc>
          <w:tcPr>
            <w:tcW w:w="1276"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6,2</w:t>
            </w:r>
          </w:p>
        </w:tc>
        <w:tc>
          <w:tcPr>
            <w:tcW w:w="111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9,6</w:t>
            </w:r>
          </w:p>
        </w:tc>
        <w:tc>
          <w:tcPr>
            <w:tcW w:w="1072"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1D356D">
        <w:trPr>
          <w:trHeight w:val="257"/>
        </w:trPr>
        <w:tc>
          <w:tcPr>
            <w:tcW w:w="191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920"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Fondamental</w:t>
            </w:r>
          </w:p>
        </w:tc>
        <w:tc>
          <w:tcPr>
            <w:tcW w:w="137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56,0</w:t>
            </w:r>
          </w:p>
        </w:tc>
        <w:tc>
          <w:tcPr>
            <w:tcW w:w="104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12,4</w:t>
            </w:r>
          </w:p>
        </w:tc>
        <w:tc>
          <w:tcPr>
            <w:tcW w:w="1276"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18,1</w:t>
            </w:r>
          </w:p>
        </w:tc>
        <w:tc>
          <w:tcPr>
            <w:tcW w:w="111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13,5</w:t>
            </w:r>
          </w:p>
        </w:tc>
        <w:tc>
          <w:tcPr>
            <w:tcW w:w="1072"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1D356D">
        <w:trPr>
          <w:trHeight w:val="257"/>
        </w:trPr>
        <w:tc>
          <w:tcPr>
            <w:tcW w:w="191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920"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Secondaire</w:t>
            </w:r>
          </w:p>
        </w:tc>
        <w:tc>
          <w:tcPr>
            <w:tcW w:w="137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17,6</w:t>
            </w:r>
          </w:p>
        </w:tc>
        <w:tc>
          <w:tcPr>
            <w:tcW w:w="104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13,4</w:t>
            </w:r>
          </w:p>
        </w:tc>
        <w:tc>
          <w:tcPr>
            <w:tcW w:w="1276"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32,4</w:t>
            </w:r>
          </w:p>
        </w:tc>
        <w:tc>
          <w:tcPr>
            <w:tcW w:w="111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36,7</w:t>
            </w:r>
          </w:p>
        </w:tc>
        <w:tc>
          <w:tcPr>
            <w:tcW w:w="1072"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1D356D">
        <w:trPr>
          <w:trHeight w:val="257"/>
        </w:trPr>
        <w:tc>
          <w:tcPr>
            <w:tcW w:w="191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920"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Supérieur</w:t>
            </w:r>
          </w:p>
        </w:tc>
        <w:tc>
          <w:tcPr>
            <w:tcW w:w="137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40,9</w:t>
            </w:r>
          </w:p>
        </w:tc>
        <w:tc>
          <w:tcPr>
            <w:tcW w:w="104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12,5</w:t>
            </w:r>
          </w:p>
        </w:tc>
        <w:tc>
          <w:tcPr>
            <w:tcW w:w="1276"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0,0</w:t>
            </w:r>
          </w:p>
        </w:tc>
        <w:tc>
          <w:tcPr>
            <w:tcW w:w="111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46,6</w:t>
            </w:r>
          </w:p>
        </w:tc>
        <w:tc>
          <w:tcPr>
            <w:tcW w:w="1072"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1D356D">
        <w:trPr>
          <w:trHeight w:val="257"/>
        </w:trPr>
        <w:tc>
          <w:tcPr>
            <w:tcW w:w="191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920"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Total</w:t>
            </w:r>
          </w:p>
        </w:tc>
        <w:tc>
          <w:tcPr>
            <w:tcW w:w="137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70,3</w:t>
            </w:r>
          </w:p>
        </w:tc>
        <w:tc>
          <w:tcPr>
            <w:tcW w:w="104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7,6</w:t>
            </w:r>
          </w:p>
        </w:tc>
        <w:tc>
          <w:tcPr>
            <w:tcW w:w="1276"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10,7</w:t>
            </w:r>
          </w:p>
        </w:tc>
        <w:tc>
          <w:tcPr>
            <w:tcW w:w="1117"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11,3</w:t>
            </w:r>
          </w:p>
        </w:tc>
        <w:tc>
          <w:tcPr>
            <w:tcW w:w="1072"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bl>
    <w:p w:rsidR="00E42400" w:rsidRPr="006973B5" w:rsidRDefault="00E42400" w:rsidP="00E42400">
      <w:pPr>
        <w:spacing w:after="0"/>
        <w:rPr>
          <w:rFonts w:ascii="Times New Roman" w:hAnsi="Times New Roman" w:cs="Times New Roman"/>
          <w:i/>
          <w:sz w:val="20"/>
          <w:szCs w:val="20"/>
          <w:lang w:val="en-GB"/>
        </w:rPr>
      </w:pPr>
      <w:r w:rsidRPr="006973B5">
        <w:rPr>
          <w:rFonts w:ascii="Times New Roman" w:hAnsi="Times New Roman" w:cs="Times New Roman"/>
          <w:sz w:val="20"/>
          <w:szCs w:val="20"/>
          <w:u w:val="single"/>
        </w:rPr>
        <w:t>Source :</w:t>
      </w:r>
      <w:r w:rsidRPr="006973B5">
        <w:rPr>
          <w:rFonts w:ascii="Times New Roman" w:hAnsi="Times New Roman" w:cs="Times New Roman"/>
          <w:sz w:val="20"/>
          <w:szCs w:val="20"/>
        </w:rPr>
        <w:t xml:space="preserve"> ONEF, à partir des données</w:t>
      </w:r>
      <w:r w:rsidRPr="006973B5">
        <w:rPr>
          <w:rFonts w:ascii="Times New Roman" w:hAnsi="Times New Roman" w:cs="Times New Roman"/>
          <w:i/>
          <w:sz w:val="20"/>
          <w:szCs w:val="20"/>
          <w:lang w:val="en-GB"/>
        </w:rPr>
        <w:t xml:space="preserve"> EMOP-2017</w:t>
      </w:r>
    </w:p>
    <w:p w:rsidR="00CA1CE8" w:rsidRPr="006973B5" w:rsidRDefault="00CA1CE8" w:rsidP="00E42400">
      <w:pPr>
        <w:spacing w:after="0"/>
        <w:rPr>
          <w:rFonts w:ascii="Times New Roman" w:hAnsi="Times New Roman" w:cs="Times New Roman"/>
          <w:i/>
          <w:sz w:val="20"/>
          <w:szCs w:val="20"/>
          <w:lang w:val="en-GB"/>
        </w:rPr>
      </w:pPr>
    </w:p>
    <w:p w:rsidR="00C302A4" w:rsidRPr="006973B5" w:rsidRDefault="00C302A4" w:rsidP="003A748A">
      <w:pPr>
        <w:spacing w:after="0" w:line="276" w:lineRule="auto"/>
        <w:jc w:val="both"/>
        <w:rPr>
          <w:rFonts w:ascii="Times New Roman" w:hAnsi="Times New Roman" w:cs="Times New Roman"/>
          <w:sz w:val="24"/>
          <w:szCs w:val="20"/>
        </w:rPr>
      </w:pPr>
      <w:r w:rsidRPr="006973B5">
        <w:rPr>
          <w:rFonts w:ascii="Times New Roman" w:hAnsi="Times New Roman" w:cs="Times New Roman"/>
          <w:sz w:val="24"/>
          <w:szCs w:val="20"/>
        </w:rPr>
        <w:t xml:space="preserve">Près de 83% des jeunes </w:t>
      </w:r>
      <w:r w:rsidR="00763746" w:rsidRPr="006973B5">
        <w:rPr>
          <w:rFonts w:ascii="Times New Roman" w:hAnsi="Times New Roman" w:cs="Times New Roman"/>
          <w:sz w:val="24"/>
          <w:szCs w:val="20"/>
        </w:rPr>
        <w:t>résidant</w:t>
      </w:r>
      <w:r w:rsidRPr="006973B5">
        <w:rPr>
          <w:rFonts w:ascii="Times New Roman" w:hAnsi="Times New Roman" w:cs="Times New Roman"/>
          <w:sz w:val="24"/>
          <w:szCs w:val="20"/>
        </w:rPr>
        <w:t xml:space="preserve"> en milieu rural </w:t>
      </w:r>
      <w:r w:rsidR="00F714DD" w:rsidRPr="006973B5">
        <w:rPr>
          <w:rFonts w:ascii="Times New Roman" w:hAnsi="Times New Roman" w:cs="Times New Roman"/>
          <w:sz w:val="24"/>
          <w:szCs w:val="20"/>
        </w:rPr>
        <w:t xml:space="preserve">travaillent dans le secteur agricole. Par contre à Bamako, les jeunes exercent leurs activités prioritairement dans les Services (48,5%), commerce (32,8%) et l’industrie (18,2%). </w:t>
      </w:r>
      <w:r w:rsidR="003A748A" w:rsidRPr="006973B5">
        <w:rPr>
          <w:rFonts w:ascii="Times New Roman" w:hAnsi="Times New Roman" w:cs="Times New Roman"/>
          <w:sz w:val="24"/>
          <w:szCs w:val="20"/>
        </w:rPr>
        <w:t xml:space="preserve">Ceci s’explique surtout par le fait que le District Bamako, comme nous l’avons expliqué plus haut est non seulement la Capitale politique, mais aussi la </w:t>
      </w:r>
      <w:r w:rsidR="007F5F9B" w:rsidRPr="006973B5">
        <w:rPr>
          <w:rFonts w:ascii="Times New Roman" w:hAnsi="Times New Roman" w:cs="Times New Roman"/>
          <w:sz w:val="24"/>
          <w:szCs w:val="20"/>
        </w:rPr>
        <w:t>Capitale économique du Pays. L’activité économique est dominée par ces secteurs.</w:t>
      </w:r>
    </w:p>
    <w:p w:rsidR="007F5F9B" w:rsidRPr="00AD3E3E" w:rsidRDefault="007F5F9B" w:rsidP="003A748A">
      <w:pPr>
        <w:spacing w:after="0" w:line="276" w:lineRule="auto"/>
        <w:jc w:val="both"/>
        <w:rPr>
          <w:rFonts w:ascii="Times New Roman" w:hAnsi="Times New Roman" w:cs="Times New Roman"/>
          <w:sz w:val="16"/>
          <w:szCs w:val="16"/>
        </w:rPr>
      </w:pPr>
    </w:p>
    <w:p w:rsidR="007F5F9B" w:rsidRPr="006973B5" w:rsidRDefault="007F5F9B" w:rsidP="003A748A">
      <w:pPr>
        <w:spacing w:after="0" w:line="276" w:lineRule="auto"/>
        <w:jc w:val="both"/>
        <w:rPr>
          <w:rFonts w:ascii="Times New Roman" w:hAnsi="Times New Roman" w:cs="Times New Roman"/>
          <w:sz w:val="24"/>
          <w:szCs w:val="20"/>
        </w:rPr>
      </w:pPr>
      <w:r w:rsidRPr="006973B5">
        <w:rPr>
          <w:rFonts w:ascii="Times New Roman" w:hAnsi="Times New Roman" w:cs="Times New Roman"/>
          <w:sz w:val="24"/>
          <w:szCs w:val="20"/>
        </w:rPr>
        <w:t>Au niveau des régions, nous constatons que</w:t>
      </w:r>
      <w:r w:rsidR="0043625D" w:rsidRPr="006973B5">
        <w:rPr>
          <w:rFonts w:ascii="Times New Roman" w:hAnsi="Times New Roman" w:cs="Times New Roman"/>
          <w:sz w:val="24"/>
          <w:szCs w:val="20"/>
        </w:rPr>
        <w:t xml:space="preserve"> les jeunes résid</w:t>
      </w:r>
      <w:r w:rsidR="000D3E4B" w:rsidRPr="006973B5">
        <w:rPr>
          <w:rFonts w:ascii="Times New Roman" w:hAnsi="Times New Roman" w:cs="Times New Roman"/>
          <w:sz w:val="24"/>
          <w:szCs w:val="20"/>
        </w:rPr>
        <w:t>an</w:t>
      </w:r>
      <w:r w:rsidR="0043625D" w:rsidRPr="006973B5">
        <w:rPr>
          <w:rFonts w:ascii="Times New Roman" w:hAnsi="Times New Roman" w:cs="Times New Roman"/>
          <w:sz w:val="24"/>
          <w:szCs w:val="20"/>
        </w:rPr>
        <w:t>t dans les régions de Koulikoro, Tombouctou, Gao et le District de Bamako</w:t>
      </w:r>
      <w:r w:rsidR="000D3E4B" w:rsidRPr="006973B5">
        <w:rPr>
          <w:rFonts w:ascii="Times New Roman" w:hAnsi="Times New Roman" w:cs="Times New Roman"/>
          <w:sz w:val="24"/>
          <w:szCs w:val="20"/>
        </w:rPr>
        <w:t xml:space="preserve"> évoluent moins dans l’agriculture. A Tombouctou et Bamako moins de 1% des jeunes exercent dans l’agriculture. Près de 85% des jeunes de Tombouctou travaillent dans le secteur des Services.</w:t>
      </w:r>
      <w:r w:rsidR="009D08B8" w:rsidRPr="006973B5">
        <w:rPr>
          <w:rFonts w:ascii="Times New Roman" w:hAnsi="Times New Roman" w:cs="Times New Roman"/>
          <w:sz w:val="24"/>
          <w:szCs w:val="20"/>
        </w:rPr>
        <w:t xml:space="preserve"> Ce résultat n’est pas surprenant du fait </w:t>
      </w:r>
      <w:r w:rsidR="004D5202" w:rsidRPr="006973B5">
        <w:rPr>
          <w:rFonts w:ascii="Times New Roman" w:hAnsi="Times New Roman" w:cs="Times New Roman"/>
          <w:sz w:val="24"/>
          <w:szCs w:val="20"/>
        </w:rPr>
        <w:t>des conditions climatiques de cette région.</w:t>
      </w:r>
      <w:r w:rsidR="009D08B8" w:rsidRPr="006973B5">
        <w:rPr>
          <w:rFonts w:ascii="Times New Roman" w:hAnsi="Times New Roman" w:cs="Times New Roman"/>
          <w:sz w:val="24"/>
          <w:szCs w:val="20"/>
        </w:rPr>
        <w:t xml:space="preserve"> </w:t>
      </w:r>
    </w:p>
    <w:p w:rsidR="00024500" w:rsidRPr="00AD3E3E" w:rsidRDefault="00024500" w:rsidP="003A748A">
      <w:pPr>
        <w:spacing w:after="0" w:line="276" w:lineRule="auto"/>
        <w:jc w:val="both"/>
        <w:rPr>
          <w:rFonts w:ascii="Times New Roman" w:hAnsi="Times New Roman" w:cs="Times New Roman"/>
          <w:sz w:val="16"/>
          <w:szCs w:val="16"/>
        </w:rPr>
      </w:pPr>
    </w:p>
    <w:p w:rsidR="00E42400" w:rsidRPr="006973B5" w:rsidRDefault="00024500" w:rsidP="00F743A5">
      <w:pPr>
        <w:spacing w:after="0" w:line="276" w:lineRule="auto"/>
        <w:jc w:val="both"/>
        <w:rPr>
          <w:rFonts w:ascii="Times New Roman" w:hAnsi="Times New Roman" w:cs="Times New Roman"/>
          <w:sz w:val="24"/>
          <w:szCs w:val="20"/>
        </w:rPr>
      </w:pPr>
      <w:r w:rsidRPr="006973B5">
        <w:rPr>
          <w:rFonts w:ascii="Times New Roman" w:hAnsi="Times New Roman" w:cs="Times New Roman"/>
          <w:sz w:val="24"/>
          <w:szCs w:val="20"/>
        </w:rPr>
        <w:t xml:space="preserve">Le fort taux d’emploi (78,4% tableau 4) enregistré chez les jeunes qui </w:t>
      </w:r>
      <w:r w:rsidR="00AD3E3E">
        <w:rPr>
          <w:rFonts w:ascii="Times New Roman" w:hAnsi="Times New Roman" w:cs="Times New Roman"/>
          <w:sz w:val="24"/>
          <w:szCs w:val="20"/>
        </w:rPr>
        <w:t>n’</w:t>
      </w:r>
      <w:r w:rsidR="00F743A5" w:rsidRPr="006973B5">
        <w:rPr>
          <w:rFonts w:ascii="Times New Roman" w:hAnsi="Times New Roman" w:cs="Times New Roman"/>
          <w:sz w:val="24"/>
          <w:szCs w:val="20"/>
        </w:rPr>
        <w:t>ont</w:t>
      </w:r>
      <w:r w:rsidRPr="006973B5">
        <w:rPr>
          <w:rFonts w:ascii="Times New Roman" w:hAnsi="Times New Roman" w:cs="Times New Roman"/>
          <w:sz w:val="24"/>
          <w:szCs w:val="20"/>
        </w:rPr>
        <w:t xml:space="preserve"> aucun niveau d’éducation</w:t>
      </w:r>
      <w:r w:rsidR="00AD3E3E">
        <w:rPr>
          <w:rFonts w:ascii="Times New Roman" w:hAnsi="Times New Roman" w:cs="Times New Roman"/>
          <w:sz w:val="24"/>
          <w:szCs w:val="20"/>
        </w:rPr>
        <w:t>,</w:t>
      </w:r>
      <w:r w:rsidR="00F743A5" w:rsidRPr="006973B5">
        <w:rPr>
          <w:rFonts w:ascii="Times New Roman" w:hAnsi="Times New Roman" w:cs="Times New Roman"/>
          <w:sz w:val="24"/>
          <w:szCs w:val="20"/>
        </w:rPr>
        <w:t xml:space="preserve"> est dû à leur présence massive dans le secteur agricole, près de 80% y exercent leurs activités.</w:t>
      </w:r>
      <w:r w:rsidR="00B56D1D" w:rsidRPr="006973B5">
        <w:rPr>
          <w:rFonts w:ascii="Times New Roman" w:hAnsi="Times New Roman" w:cs="Times New Roman"/>
          <w:sz w:val="24"/>
          <w:szCs w:val="20"/>
        </w:rPr>
        <w:t xml:space="preserve"> </w:t>
      </w:r>
      <w:r w:rsidR="00B56D1D" w:rsidRPr="006973B5">
        <w:rPr>
          <w:rFonts w:ascii="Times New Roman" w:hAnsi="Times New Roman" w:cs="Times New Roman"/>
          <w:sz w:val="24"/>
          <w:szCs w:val="20"/>
        </w:rPr>
        <w:lastRenderedPageBreak/>
        <w:t>Seulement 17,6% des jeunes ayant le niveau d’éducation secondaire évoluent dans l’agriculture. Il ressort clairement dans ce tableau que les</w:t>
      </w:r>
      <w:r w:rsidR="00132AD4" w:rsidRPr="006973B5">
        <w:rPr>
          <w:rFonts w:ascii="Times New Roman" w:hAnsi="Times New Roman" w:cs="Times New Roman"/>
          <w:sz w:val="24"/>
          <w:szCs w:val="20"/>
        </w:rPr>
        <w:t xml:space="preserve"> jeunes qui sont</w:t>
      </w:r>
      <w:r w:rsidR="00B56D1D" w:rsidRPr="006973B5">
        <w:rPr>
          <w:rFonts w:ascii="Times New Roman" w:hAnsi="Times New Roman" w:cs="Times New Roman"/>
          <w:sz w:val="24"/>
          <w:szCs w:val="20"/>
        </w:rPr>
        <w:t xml:space="preserve"> moins</w:t>
      </w:r>
      <w:r w:rsidR="00132AD4" w:rsidRPr="006973B5">
        <w:rPr>
          <w:rFonts w:ascii="Times New Roman" w:hAnsi="Times New Roman" w:cs="Times New Roman"/>
          <w:sz w:val="24"/>
          <w:szCs w:val="20"/>
        </w:rPr>
        <w:t xml:space="preserve"> instruits sont plus nombreux dans l’agriculture que ceux qui ont un niveau d’étude assez élevé. Ceux-ci</w:t>
      </w:r>
      <w:r w:rsidR="00B56D1D" w:rsidRPr="006973B5">
        <w:rPr>
          <w:rFonts w:ascii="Times New Roman" w:hAnsi="Times New Roman" w:cs="Times New Roman"/>
          <w:sz w:val="24"/>
          <w:szCs w:val="20"/>
        </w:rPr>
        <w:t xml:space="preserve"> </w:t>
      </w:r>
      <w:r w:rsidR="00E93476" w:rsidRPr="006973B5">
        <w:rPr>
          <w:rFonts w:ascii="Times New Roman" w:hAnsi="Times New Roman" w:cs="Times New Roman"/>
          <w:sz w:val="24"/>
          <w:szCs w:val="20"/>
        </w:rPr>
        <w:t>préfèrent surtout travailler dans les services et industrie. Il faut rappeler que ces secteurs regroupent une part importante des entreprises formelles.</w:t>
      </w:r>
    </w:p>
    <w:p w:rsidR="00E93476" w:rsidRPr="006973B5" w:rsidRDefault="00E93476" w:rsidP="00F743A5">
      <w:pPr>
        <w:spacing w:after="0" w:line="276" w:lineRule="auto"/>
        <w:jc w:val="both"/>
        <w:rPr>
          <w:rFonts w:ascii="Times New Roman" w:hAnsi="Times New Roman" w:cs="Times New Roman"/>
          <w:sz w:val="20"/>
          <w:szCs w:val="20"/>
        </w:rPr>
      </w:pPr>
    </w:p>
    <w:p w:rsidR="00E42400" w:rsidRPr="006973B5" w:rsidRDefault="00E42400" w:rsidP="00937EDF">
      <w:pPr>
        <w:pStyle w:val="Titre2"/>
        <w:numPr>
          <w:ilvl w:val="1"/>
          <w:numId w:val="14"/>
        </w:numPr>
        <w:rPr>
          <w:rFonts w:ascii="Times New Roman" w:hAnsi="Times New Roman" w:cs="Times New Roman"/>
          <w:b/>
          <w:color w:val="auto"/>
        </w:rPr>
      </w:pPr>
      <w:bookmarkStart w:id="28" w:name="_Toc511311782"/>
      <w:bookmarkStart w:id="29" w:name="_Toc516676417"/>
      <w:r w:rsidRPr="006973B5">
        <w:rPr>
          <w:rFonts w:ascii="Times New Roman" w:hAnsi="Times New Roman" w:cs="Times New Roman"/>
          <w:b/>
          <w:color w:val="auto"/>
        </w:rPr>
        <w:t>Emploi des jeunes selon le secteur institutionnel</w:t>
      </w:r>
      <w:bookmarkEnd w:id="28"/>
      <w:bookmarkEnd w:id="29"/>
    </w:p>
    <w:p w:rsidR="00937EDF" w:rsidRPr="006973B5" w:rsidRDefault="00937EDF" w:rsidP="00AD3E3E">
      <w:pPr>
        <w:spacing w:after="0" w:line="240" w:lineRule="auto"/>
      </w:pPr>
    </w:p>
    <w:p w:rsidR="00A15D25" w:rsidRPr="006973B5" w:rsidRDefault="00A15D25" w:rsidP="001B0634">
      <w:pPr>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Selon le secteur institutionnel, nous constatons que 68,7% des jeunes qui sont </w:t>
      </w:r>
      <w:r w:rsidR="001B0634" w:rsidRPr="006973B5">
        <w:rPr>
          <w:rFonts w:ascii="Times New Roman" w:hAnsi="Times New Roman" w:cs="Times New Roman"/>
          <w:bCs/>
          <w:iCs/>
          <w:sz w:val="24"/>
          <w:szCs w:val="20"/>
        </w:rPr>
        <w:t xml:space="preserve">en </w:t>
      </w:r>
      <w:r w:rsidRPr="006973B5">
        <w:rPr>
          <w:rFonts w:ascii="Times New Roman" w:hAnsi="Times New Roman" w:cs="Times New Roman"/>
          <w:bCs/>
          <w:iCs/>
          <w:sz w:val="24"/>
          <w:szCs w:val="20"/>
        </w:rPr>
        <w:t>emploi travaillent dans les entreprises privées informelles. La proportion des femmes travaillant dans ce secteur est plus est plus élevée que celle des hommes (70,6% contre 66,6%)</w:t>
      </w:r>
      <w:r w:rsidR="001B0634" w:rsidRPr="006973B5">
        <w:rPr>
          <w:rFonts w:ascii="Times New Roman" w:hAnsi="Times New Roman" w:cs="Times New Roman"/>
          <w:bCs/>
          <w:iCs/>
          <w:sz w:val="24"/>
          <w:szCs w:val="20"/>
        </w:rPr>
        <w:t xml:space="preserve">. Près de 78% des jeunes résidant à Bamako travaillent dans ces entreprises privées informelles. </w:t>
      </w:r>
      <w:r w:rsidR="00EB22BC" w:rsidRPr="006973B5">
        <w:rPr>
          <w:rFonts w:ascii="Times New Roman" w:hAnsi="Times New Roman" w:cs="Times New Roman"/>
          <w:bCs/>
          <w:iCs/>
          <w:sz w:val="24"/>
          <w:szCs w:val="20"/>
        </w:rPr>
        <w:t xml:space="preserve">Plus de 90% des jeunes des régions de Koulikoro, Ségou, Gao sont employés dans les entreprises privées informelles. </w:t>
      </w:r>
    </w:p>
    <w:p w:rsidR="00E42400" w:rsidRPr="006973B5" w:rsidRDefault="00E42400" w:rsidP="00E42400">
      <w:pPr>
        <w:spacing w:after="0"/>
        <w:rPr>
          <w:rFonts w:ascii="Times New Roman" w:hAnsi="Times New Roman" w:cs="Times New Roman"/>
          <w:sz w:val="20"/>
          <w:szCs w:val="20"/>
        </w:rPr>
      </w:pPr>
      <w:bookmarkStart w:id="30" w:name="_Toc511310940"/>
      <w:bookmarkStart w:id="31" w:name="_Toc516676459"/>
      <w:r w:rsidRPr="006973B5">
        <w:rPr>
          <w:rFonts w:ascii="Times New Roman" w:hAnsi="Times New Roman" w:cs="Times New Roman"/>
          <w:bCs/>
          <w:i/>
          <w:iCs/>
          <w:sz w:val="20"/>
          <w:szCs w:val="20"/>
        </w:rPr>
        <w:t xml:space="preserve">Tableau </w:t>
      </w:r>
      <w:r w:rsidR="00211B05" w:rsidRPr="006973B5">
        <w:rPr>
          <w:rFonts w:ascii="Times New Roman" w:hAnsi="Times New Roman" w:cs="Times New Roman"/>
          <w:bCs/>
          <w:i/>
          <w:iCs/>
          <w:sz w:val="20"/>
          <w:szCs w:val="20"/>
        </w:rPr>
        <w:fldChar w:fldCharType="begin"/>
      </w:r>
      <w:r w:rsidR="00211B05" w:rsidRPr="006973B5">
        <w:rPr>
          <w:rFonts w:ascii="Times New Roman" w:hAnsi="Times New Roman" w:cs="Times New Roman"/>
          <w:bCs/>
          <w:i/>
          <w:iCs/>
          <w:sz w:val="20"/>
          <w:szCs w:val="20"/>
        </w:rPr>
        <w:instrText xml:space="preserve"> SEQ Tableau \* ARABIC </w:instrText>
      </w:r>
      <w:r w:rsidR="00211B05" w:rsidRPr="006973B5">
        <w:rPr>
          <w:rFonts w:ascii="Times New Roman" w:hAnsi="Times New Roman" w:cs="Times New Roman"/>
          <w:bCs/>
          <w:i/>
          <w:iCs/>
          <w:sz w:val="20"/>
          <w:szCs w:val="20"/>
        </w:rPr>
        <w:fldChar w:fldCharType="separate"/>
      </w:r>
      <w:r w:rsidR="00211B05" w:rsidRPr="006973B5">
        <w:rPr>
          <w:rFonts w:ascii="Times New Roman" w:hAnsi="Times New Roman" w:cs="Times New Roman"/>
          <w:bCs/>
          <w:i/>
          <w:iCs/>
          <w:noProof/>
          <w:sz w:val="20"/>
          <w:szCs w:val="20"/>
        </w:rPr>
        <w:t>7</w:t>
      </w:r>
      <w:r w:rsidR="00211B05" w:rsidRPr="006973B5">
        <w:rPr>
          <w:rFonts w:ascii="Times New Roman" w:hAnsi="Times New Roman" w:cs="Times New Roman"/>
          <w:bCs/>
          <w:i/>
          <w:iCs/>
          <w:sz w:val="20"/>
          <w:szCs w:val="20"/>
        </w:rPr>
        <w:fldChar w:fldCharType="end"/>
      </w:r>
      <w:r w:rsidRPr="006973B5">
        <w:rPr>
          <w:rFonts w:ascii="Times New Roman" w:hAnsi="Times New Roman" w:cs="Times New Roman"/>
          <w:bCs/>
          <w:i/>
          <w:iCs/>
          <w:sz w:val="20"/>
          <w:szCs w:val="20"/>
        </w:rPr>
        <w:t>. Répartition des emplois des jeunes selon le secteur institutionnel (année 2017)</w:t>
      </w:r>
      <w:bookmarkEnd w:id="30"/>
      <w:bookmarkEnd w:id="31"/>
    </w:p>
    <w:tbl>
      <w:tblPr>
        <w:tblStyle w:val="Style1"/>
        <w:tblW w:w="9697" w:type="dxa"/>
        <w:tblLayout w:type="fixed"/>
        <w:tblLook w:val="04A0" w:firstRow="1" w:lastRow="0" w:firstColumn="1" w:lastColumn="0" w:noHBand="0" w:noVBand="1"/>
      </w:tblPr>
      <w:tblGrid>
        <w:gridCol w:w="1384"/>
        <w:gridCol w:w="1559"/>
        <w:gridCol w:w="993"/>
        <w:gridCol w:w="1134"/>
        <w:gridCol w:w="1134"/>
        <w:gridCol w:w="1400"/>
        <w:gridCol w:w="1134"/>
        <w:gridCol w:w="959"/>
      </w:tblGrid>
      <w:tr w:rsidR="00E42400" w:rsidRPr="006973B5" w:rsidTr="00D349FA">
        <w:trPr>
          <w:cnfStyle w:val="100000000000" w:firstRow="1" w:lastRow="0" w:firstColumn="0" w:lastColumn="0" w:oddVBand="0" w:evenVBand="0" w:oddHBand="0" w:evenHBand="0" w:firstRowFirstColumn="0" w:firstRowLastColumn="0" w:lastRowFirstColumn="0" w:lastRowLastColumn="0"/>
          <w:trHeight w:val="227"/>
        </w:trPr>
        <w:tc>
          <w:tcPr>
            <w:tcW w:w="2943" w:type="dxa"/>
            <w:gridSpan w:val="2"/>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 </w:t>
            </w:r>
          </w:p>
        </w:tc>
        <w:tc>
          <w:tcPr>
            <w:tcW w:w="993" w:type="dxa"/>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Secteur public</w:t>
            </w:r>
          </w:p>
        </w:tc>
        <w:tc>
          <w:tcPr>
            <w:tcW w:w="1134" w:type="dxa"/>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Entreprise privée formelle</w:t>
            </w:r>
          </w:p>
        </w:tc>
        <w:tc>
          <w:tcPr>
            <w:tcW w:w="1134" w:type="dxa"/>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Entreprise privée informelle</w:t>
            </w:r>
          </w:p>
        </w:tc>
        <w:tc>
          <w:tcPr>
            <w:tcW w:w="1400" w:type="dxa"/>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ON</w:t>
            </w:r>
            <w:r w:rsidR="00AD3E3E">
              <w:rPr>
                <w:rFonts w:ascii="Times New Roman" w:eastAsia="Times New Roman" w:hAnsi="Times New Roman" w:cs="Times New Roman"/>
                <w:color w:val="000000"/>
                <w:sz w:val="20"/>
                <w:szCs w:val="20"/>
                <w:lang w:eastAsia="fr-FR"/>
              </w:rPr>
              <w:t>G, Organisations internationale</w:t>
            </w:r>
            <w:r w:rsidRPr="006973B5">
              <w:rPr>
                <w:rFonts w:ascii="Times New Roman" w:eastAsia="Times New Roman" w:hAnsi="Times New Roman" w:cs="Times New Roman"/>
                <w:color w:val="000000"/>
                <w:sz w:val="20"/>
                <w:szCs w:val="20"/>
                <w:lang w:eastAsia="fr-FR"/>
              </w:rPr>
              <w:t>, association</w:t>
            </w:r>
          </w:p>
        </w:tc>
        <w:tc>
          <w:tcPr>
            <w:tcW w:w="1134" w:type="dxa"/>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Personnel de maison</w:t>
            </w:r>
          </w:p>
        </w:tc>
        <w:tc>
          <w:tcPr>
            <w:tcW w:w="959" w:type="dxa"/>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Total</w:t>
            </w:r>
          </w:p>
        </w:tc>
      </w:tr>
      <w:tr w:rsidR="00E42400" w:rsidRPr="006973B5" w:rsidTr="00D349FA">
        <w:trPr>
          <w:trHeight w:val="227"/>
        </w:trPr>
        <w:tc>
          <w:tcPr>
            <w:tcW w:w="1384"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Sexe</w:t>
            </w:r>
          </w:p>
        </w:tc>
        <w:tc>
          <w:tcPr>
            <w:tcW w:w="1559"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Homme</w:t>
            </w:r>
          </w:p>
        </w:tc>
        <w:tc>
          <w:tcPr>
            <w:tcW w:w="99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0,1</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0,1</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66,6</w:t>
            </w:r>
          </w:p>
        </w:tc>
        <w:tc>
          <w:tcPr>
            <w:tcW w:w="140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3,0</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30,3</w:t>
            </w:r>
          </w:p>
        </w:tc>
        <w:tc>
          <w:tcPr>
            <w:tcW w:w="95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D349FA">
        <w:trPr>
          <w:trHeight w:val="227"/>
        </w:trPr>
        <w:tc>
          <w:tcPr>
            <w:tcW w:w="138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559"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Femme</w:t>
            </w:r>
          </w:p>
        </w:tc>
        <w:tc>
          <w:tcPr>
            <w:tcW w:w="99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0,6</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0,1</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70,9</w:t>
            </w:r>
          </w:p>
        </w:tc>
        <w:tc>
          <w:tcPr>
            <w:tcW w:w="140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0,7</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27,7</w:t>
            </w:r>
          </w:p>
        </w:tc>
        <w:tc>
          <w:tcPr>
            <w:tcW w:w="95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D349FA">
        <w:trPr>
          <w:trHeight w:val="227"/>
        </w:trPr>
        <w:tc>
          <w:tcPr>
            <w:tcW w:w="1384"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Zone de résidence</w:t>
            </w:r>
          </w:p>
        </w:tc>
        <w:tc>
          <w:tcPr>
            <w:tcW w:w="1559"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Bamako</w:t>
            </w:r>
          </w:p>
        </w:tc>
        <w:tc>
          <w:tcPr>
            <w:tcW w:w="99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1,7</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0,0</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77,6</w:t>
            </w:r>
          </w:p>
        </w:tc>
        <w:tc>
          <w:tcPr>
            <w:tcW w:w="140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0,0</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20,7</w:t>
            </w:r>
          </w:p>
        </w:tc>
        <w:tc>
          <w:tcPr>
            <w:tcW w:w="95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D349FA">
        <w:trPr>
          <w:trHeight w:val="227"/>
        </w:trPr>
        <w:tc>
          <w:tcPr>
            <w:tcW w:w="138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559"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Autre urbain</w:t>
            </w:r>
          </w:p>
        </w:tc>
        <w:tc>
          <w:tcPr>
            <w:tcW w:w="99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0,3</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72,4</w:t>
            </w:r>
          </w:p>
        </w:tc>
        <w:tc>
          <w:tcPr>
            <w:tcW w:w="140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1,4</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25,0</w:t>
            </w:r>
          </w:p>
        </w:tc>
        <w:tc>
          <w:tcPr>
            <w:tcW w:w="95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D349FA">
        <w:trPr>
          <w:trHeight w:val="227"/>
        </w:trPr>
        <w:tc>
          <w:tcPr>
            <w:tcW w:w="138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559"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Rural</w:t>
            </w:r>
          </w:p>
        </w:tc>
        <w:tc>
          <w:tcPr>
            <w:tcW w:w="99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0,1</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0,1</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67,2</w:t>
            </w:r>
          </w:p>
        </w:tc>
        <w:tc>
          <w:tcPr>
            <w:tcW w:w="140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2,2</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30,5</w:t>
            </w:r>
          </w:p>
        </w:tc>
        <w:tc>
          <w:tcPr>
            <w:tcW w:w="95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D349FA">
        <w:trPr>
          <w:trHeight w:val="227"/>
        </w:trPr>
        <w:tc>
          <w:tcPr>
            <w:tcW w:w="1384"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Région</w:t>
            </w:r>
          </w:p>
        </w:tc>
        <w:tc>
          <w:tcPr>
            <w:tcW w:w="1559"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Kayes</w:t>
            </w:r>
          </w:p>
        </w:tc>
        <w:tc>
          <w:tcPr>
            <w:tcW w:w="99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0,0</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0,3</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42,6</w:t>
            </w:r>
          </w:p>
        </w:tc>
        <w:tc>
          <w:tcPr>
            <w:tcW w:w="140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0,4</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56,7</w:t>
            </w:r>
          </w:p>
        </w:tc>
        <w:tc>
          <w:tcPr>
            <w:tcW w:w="95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D349FA">
        <w:trPr>
          <w:trHeight w:val="227"/>
        </w:trPr>
        <w:tc>
          <w:tcPr>
            <w:tcW w:w="138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559"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Koulikoro</w:t>
            </w:r>
          </w:p>
        </w:tc>
        <w:tc>
          <w:tcPr>
            <w:tcW w:w="99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0,2</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0,1</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91,6</w:t>
            </w:r>
          </w:p>
        </w:tc>
        <w:tc>
          <w:tcPr>
            <w:tcW w:w="140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3,2</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4,9</w:t>
            </w:r>
          </w:p>
        </w:tc>
        <w:tc>
          <w:tcPr>
            <w:tcW w:w="95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D349FA">
        <w:trPr>
          <w:trHeight w:val="227"/>
        </w:trPr>
        <w:tc>
          <w:tcPr>
            <w:tcW w:w="138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559"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Sikasso</w:t>
            </w:r>
          </w:p>
        </w:tc>
        <w:tc>
          <w:tcPr>
            <w:tcW w:w="99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0,2</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0,1</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58,3</w:t>
            </w:r>
          </w:p>
        </w:tc>
        <w:tc>
          <w:tcPr>
            <w:tcW w:w="140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1,8</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39,6</w:t>
            </w:r>
          </w:p>
        </w:tc>
        <w:tc>
          <w:tcPr>
            <w:tcW w:w="95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D349FA">
        <w:trPr>
          <w:trHeight w:val="227"/>
        </w:trPr>
        <w:tc>
          <w:tcPr>
            <w:tcW w:w="138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559"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Ségou</w:t>
            </w:r>
          </w:p>
        </w:tc>
        <w:tc>
          <w:tcPr>
            <w:tcW w:w="99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0,4</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0,0</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91,6</w:t>
            </w:r>
          </w:p>
        </w:tc>
        <w:tc>
          <w:tcPr>
            <w:tcW w:w="140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5,4</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2,7</w:t>
            </w:r>
          </w:p>
        </w:tc>
        <w:tc>
          <w:tcPr>
            <w:tcW w:w="95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D349FA">
        <w:trPr>
          <w:trHeight w:val="227"/>
        </w:trPr>
        <w:tc>
          <w:tcPr>
            <w:tcW w:w="138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559"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Mopti</w:t>
            </w:r>
          </w:p>
        </w:tc>
        <w:tc>
          <w:tcPr>
            <w:tcW w:w="99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0,1</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0,0</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81,8</w:t>
            </w:r>
          </w:p>
        </w:tc>
        <w:tc>
          <w:tcPr>
            <w:tcW w:w="140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0,7</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17,4</w:t>
            </w:r>
          </w:p>
        </w:tc>
        <w:tc>
          <w:tcPr>
            <w:tcW w:w="95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D349FA">
        <w:trPr>
          <w:trHeight w:val="227"/>
        </w:trPr>
        <w:tc>
          <w:tcPr>
            <w:tcW w:w="138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559"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Tombouctou</w:t>
            </w:r>
          </w:p>
        </w:tc>
        <w:tc>
          <w:tcPr>
            <w:tcW w:w="99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0,0</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0,0</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56,1</w:t>
            </w:r>
          </w:p>
        </w:tc>
        <w:tc>
          <w:tcPr>
            <w:tcW w:w="140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0,3</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43,6</w:t>
            </w:r>
          </w:p>
        </w:tc>
        <w:tc>
          <w:tcPr>
            <w:tcW w:w="95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D349FA">
        <w:trPr>
          <w:trHeight w:val="227"/>
        </w:trPr>
        <w:tc>
          <w:tcPr>
            <w:tcW w:w="138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559"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Gao</w:t>
            </w:r>
          </w:p>
        </w:tc>
        <w:tc>
          <w:tcPr>
            <w:tcW w:w="99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0,0</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0,0</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94,8</w:t>
            </w:r>
          </w:p>
        </w:tc>
        <w:tc>
          <w:tcPr>
            <w:tcW w:w="140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1,1</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4,1</w:t>
            </w:r>
          </w:p>
        </w:tc>
        <w:tc>
          <w:tcPr>
            <w:tcW w:w="95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D349FA">
        <w:trPr>
          <w:trHeight w:val="227"/>
        </w:trPr>
        <w:tc>
          <w:tcPr>
            <w:tcW w:w="138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559"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Bamako</w:t>
            </w:r>
          </w:p>
        </w:tc>
        <w:tc>
          <w:tcPr>
            <w:tcW w:w="99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1,7</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0,0</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77,6</w:t>
            </w:r>
          </w:p>
        </w:tc>
        <w:tc>
          <w:tcPr>
            <w:tcW w:w="140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0,0</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20,7</w:t>
            </w:r>
          </w:p>
        </w:tc>
        <w:tc>
          <w:tcPr>
            <w:tcW w:w="95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D349FA">
        <w:trPr>
          <w:trHeight w:val="227"/>
        </w:trPr>
        <w:tc>
          <w:tcPr>
            <w:tcW w:w="1384"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Statut de pauvreté</w:t>
            </w:r>
          </w:p>
        </w:tc>
        <w:tc>
          <w:tcPr>
            <w:tcW w:w="1559"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Non pauvres</w:t>
            </w:r>
          </w:p>
        </w:tc>
        <w:tc>
          <w:tcPr>
            <w:tcW w:w="99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 </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 </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 </w:t>
            </w:r>
          </w:p>
        </w:tc>
        <w:tc>
          <w:tcPr>
            <w:tcW w:w="140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 </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 </w:t>
            </w:r>
          </w:p>
        </w:tc>
        <w:tc>
          <w:tcPr>
            <w:tcW w:w="95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 </w:t>
            </w:r>
          </w:p>
        </w:tc>
      </w:tr>
      <w:tr w:rsidR="00E42400" w:rsidRPr="006973B5" w:rsidTr="00D349FA">
        <w:trPr>
          <w:trHeight w:val="227"/>
        </w:trPr>
        <w:tc>
          <w:tcPr>
            <w:tcW w:w="138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559"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Pauvres</w:t>
            </w:r>
          </w:p>
        </w:tc>
        <w:tc>
          <w:tcPr>
            <w:tcW w:w="99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 </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 </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 </w:t>
            </w:r>
          </w:p>
        </w:tc>
        <w:tc>
          <w:tcPr>
            <w:tcW w:w="140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 </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 </w:t>
            </w:r>
          </w:p>
        </w:tc>
        <w:tc>
          <w:tcPr>
            <w:tcW w:w="95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 </w:t>
            </w:r>
          </w:p>
        </w:tc>
      </w:tr>
      <w:tr w:rsidR="00E42400" w:rsidRPr="006973B5" w:rsidTr="00D349FA">
        <w:trPr>
          <w:trHeight w:val="227"/>
        </w:trPr>
        <w:tc>
          <w:tcPr>
            <w:tcW w:w="1384"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Niveau d'éducation</w:t>
            </w:r>
          </w:p>
        </w:tc>
        <w:tc>
          <w:tcPr>
            <w:tcW w:w="1559"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Aucun</w:t>
            </w:r>
          </w:p>
        </w:tc>
        <w:tc>
          <w:tcPr>
            <w:tcW w:w="99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0,0</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0,0</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64,7</w:t>
            </w:r>
          </w:p>
        </w:tc>
        <w:tc>
          <w:tcPr>
            <w:tcW w:w="140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2,3</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33,0</w:t>
            </w:r>
          </w:p>
        </w:tc>
        <w:tc>
          <w:tcPr>
            <w:tcW w:w="95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D349FA">
        <w:trPr>
          <w:trHeight w:val="227"/>
        </w:trPr>
        <w:tc>
          <w:tcPr>
            <w:tcW w:w="138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559"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Fondamental</w:t>
            </w:r>
          </w:p>
        </w:tc>
        <w:tc>
          <w:tcPr>
            <w:tcW w:w="99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0,6</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0,2</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75,6</w:t>
            </w:r>
          </w:p>
        </w:tc>
        <w:tc>
          <w:tcPr>
            <w:tcW w:w="140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1,1</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22,5</w:t>
            </w:r>
          </w:p>
        </w:tc>
        <w:tc>
          <w:tcPr>
            <w:tcW w:w="95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D349FA">
        <w:trPr>
          <w:trHeight w:val="227"/>
        </w:trPr>
        <w:tc>
          <w:tcPr>
            <w:tcW w:w="138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559"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Secondaire</w:t>
            </w:r>
          </w:p>
        </w:tc>
        <w:tc>
          <w:tcPr>
            <w:tcW w:w="99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8,8</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0,5</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76,7</w:t>
            </w:r>
          </w:p>
        </w:tc>
        <w:tc>
          <w:tcPr>
            <w:tcW w:w="140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2,8</w:t>
            </w:r>
          </w:p>
        </w:tc>
        <w:tc>
          <w:tcPr>
            <w:tcW w:w="113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11,2</w:t>
            </w:r>
          </w:p>
        </w:tc>
        <w:tc>
          <w:tcPr>
            <w:tcW w:w="95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D349FA">
        <w:trPr>
          <w:trHeight w:val="227"/>
        </w:trPr>
        <w:tc>
          <w:tcPr>
            <w:tcW w:w="138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559" w:type="dxa"/>
            <w:tcBorders>
              <w:bottom w:val="single" w:sz="4" w:space="0" w:color="70AD47" w:themeColor="accent6"/>
            </w:tcBorders>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Supérieur</w:t>
            </w:r>
          </w:p>
        </w:tc>
        <w:tc>
          <w:tcPr>
            <w:tcW w:w="993" w:type="dxa"/>
            <w:tcBorders>
              <w:bottom w:val="single" w:sz="4" w:space="0" w:color="70AD47" w:themeColor="accent6"/>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0,0</w:t>
            </w:r>
          </w:p>
        </w:tc>
        <w:tc>
          <w:tcPr>
            <w:tcW w:w="1134" w:type="dxa"/>
            <w:tcBorders>
              <w:bottom w:val="single" w:sz="4" w:space="0" w:color="70AD47" w:themeColor="accent6"/>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w:t>
            </w:r>
          </w:p>
        </w:tc>
        <w:tc>
          <w:tcPr>
            <w:tcW w:w="1134" w:type="dxa"/>
            <w:tcBorders>
              <w:bottom w:val="single" w:sz="4" w:space="0" w:color="70AD47" w:themeColor="accent6"/>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39,3</w:t>
            </w:r>
          </w:p>
        </w:tc>
        <w:tc>
          <w:tcPr>
            <w:tcW w:w="1400" w:type="dxa"/>
            <w:tcBorders>
              <w:bottom w:val="single" w:sz="4" w:space="0" w:color="70AD47" w:themeColor="accent6"/>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9,9</w:t>
            </w:r>
          </w:p>
        </w:tc>
        <w:tc>
          <w:tcPr>
            <w:tcW w:w="1134" w:type="dxa"/>
            <w:tcBorders>
              <w:bottom w:val="single" w:sz="4" w:space="0" w:color="70AD47" w:themeColor="accent6"/>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40,9</w:t>
            </w:r>
          </w:p>
        </w:tc>
        <w:tc>
          <w:tcPr>
            <w:tcW w:w="959" w:type="dxa"/>
            <w:tcBorders>
              <w:bottom w:val="single" w:sz="4" w:space="0" w:color="70AD47" w:themeColor="accent6"/>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r w:rsidR="00E42400" w:rsidRPr="006973B5" w:rsidTr="00D349FA">
        <w:trPr>
          <w:trHeight w:val="227"/>
        </w:trPr>
        <w:tc>
          <w:tcPr>
            <w:tcW w:w="1384"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559" w:type="dxa"/>
            <w:tcBorders>
              <w:top w:val="single" w:sz="4" w:space="0" w:color="70AD47" w:themeColor="accent6"/>
              <w:bottom w:val="single" w:sz="12" w:space="0" w:color="008000"/>
            </w:tcBorders>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Total</w:t>
            </w:r>
          </w:p>
        </w:tc>
        <w:tc>
          <w:tcPr>
            <w:tcW w:w="993" w:type="dxa"/>
            <w:tcBorders>
              <w:top w:val="single" w:sz="4" w:space="0" w:color="70AD47" w:themeColor="accent6"/>
              <w:bottom w:val="single" w:sz="12" w:space="0" w:color="008000"/>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0,3</w:t>
            </w:r>
          </w:p>
        </w:tc>
        <w:tc>
          <w:tcPr>
            <w:tcW w:w="1134" w:type="dxa"/>
            <w:tcBorders>
              <w:top w:val="single" w:sz="4" w:space="0" w:color="70AD47" w:themeColor="accent6"/>
              <w:bottom w:val="single" w:sz="12" w:space="0" w:color="008000"/>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0,1</w:t>
            </w:r>
          </w:p>
        </w:tc>
        <w:tc>
          <w:tcPr>
            <w:tcW w:w="1134" w:type="dxa"/>
            <w:tcBorders>
              <w:top w:val="single" w:sz="4" w:space="0" w:color="70AD47" w:themeColor="accent6"/>
              <w:bottom w:val="single" w:sz="12" w:space="0" w:color="008000"/>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68,7</w:t>
            </w:r>
          </w:p>
        </w:tc>
        <w:tc>
          <w:tcPr>
            <w:tcW w:w="1400" w:type="dxa"/>
            <w:tcBorders>
              <w:top w:val="single" w:sz="4" w:space="0" w:color="70AD47" w:themeColor="accent6"/>
              <w:bottom w:val="single" w:sz="12" w:space="0" w:color="008000"/>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1,9</w:t>
            </w:r>
          </w:p>
        </w:tc>
        <w:tc>
          <w:tcPr>
            <w:tcW w:w="1134" w:type="dxa"/>
            <w:tcBorders>
              <w:top w:val="single" w:sz="4" w:space="0" w:color="70AD47" w:themeColor="accent6"/>
              <w:bottom w:val="single" w:sz="12" w:space="0" w:color="008000"/>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29,0</w:t>
            </w:r>
          </w:p>
        </w:tc>
        <w:tc>
          <w:tcPr>
            <w:tcW w:w="959" w:type="dxa"/>
            <w:tcBorders>
              <w:top w:val="single" w:sz="4" w:space="0" w:color="70AD47" w:themeColor="accent6"/>
              <w:bottom w:val="single" w:sz="12" w:space="0" w:color="008000"/>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100,0</w:t>
            </w:r>
          </w:p>
        </w:tc>
      </w:tr>
    </w:tbl>
    <w:p w:rsidR="00E42400" w:rsidRPr="006973B5" w:rsidRDefault="00E42400" w:rsidP="00E42400">
      <w:pPr>
        <w:spacing w:after="0"/>
        <w:rPr>
          <w:rFonts w:ascii="Times New Roman" w:hAnsi="Times New Roman" w:cs="Times New Roman"/>
          <w:i/>
          <w:sz w:val="20"/>
          <w:szCs w:val="20"/>
          <w:lang w:val="en-GB"/>
        </w:rPr>
      </w:pPr>
      <w:r w:rsidRPr="006973B5">
        <w:rPr>
          <w:rFonts w:ascii="Times New Roman" w:hAnsi="Times New Roman" w:cs="Times New Roman"/>
          <w:sz w:val="20"/>
          <w:szCs w:val="20"/>
          <w:u w:val="single"/>
        </w:rPr>
        <w:t>Source :</w:t>
      </w:r>
      <w:r w:rsidRPr="006973B5">
        <w:rPr>
          <w:rFonts w:ascii="Times New Roman" w:hAnsi="Times New Roman" w:cs="Times New Roman"/>
          <w:sz w:val="20"/>
          <w:szCs w:val="20"/>
        </w:rPr>
        <w:t xml:space="preserve"> ONEF, à partir des données</w:t>
      </w:r>
      <w:r w:rsidRPr="006973B5">
        <w:rPr>
          <w:rFonts w:ascii="Times New Roman" w:hAnsi="Times New Roman" w:cs="Times New Roman"/>
          <w:i/>
          <w:sz w:val="20"/>
          <w:szCs w:val="20"/>
          <w:lang w:val="en-GB"/>
        </w:rPr>
        <w:t xml:space="preserve"> EMOP-2017</w:t>
      </w:r>
    </w:p>
    <w:p w:rsidR="00BC7AE2" w:rsidRDefault="00BC7AE2" w:rsidP="00BC7AE2">
      <w:pPr>
        <w:spacing w:after="0" w:line="276" w:lineRule="auto"/>
        <w:jc w:val="both"/>
        <w:rPr>
          <w:rFonts w:ascii="Times New Roman" w:hAnsi="Times New Roman" w:cs="Times New Roman"/>
          <w:bCs/>
          <w:iCs/>
          <w:sz w:val="24"/>
          <w:szCs w:val="20"/>
        </w:rPr>
      </w:pPr>
    </w:p>
    <w:p w:rsidR="00D3455A" w:rsidRPr="006973B5" w:rsidRDefault="00D3455A" w:rsidP="003447F3">
      <w:pPr>
        <w:spacing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Le secteur public n’emploie que 0,3% des jeunes qui sont en emploi. Seulement 1,7% des jeunes résidant à Bamako sont employés dans le secteur public. Il néanmoins noté que ce chiffre est largement supérieur la moyenne (0,3%). </w:t>
      </w:r>
      <w:r w:rsidR="00B64D4B" w:rsidRPr="006973B5">
        <w:rPr>
          <w:rFonts w:ascii="Times New Roman" w:hAnsi="Times New Roman" w:cs="Times New Roman"/>
          <w:bCs/>
          <w:iCs/>
          <w:sz w:val="24"/>
          <w:szCs w:val="20"/>
        </w:rPr>
        <w:t>Par rapport au niveau d’éducation, nous constatons que 8,8% des jeunes en emplois qui y sont employés ont le niveau d’étude secondaire</w:t>
      </w:r>
      <w:r w:rsidR="00F61102" w:rsidRPr="006973B5">
        <w:rPr>
          <w:rFonts w:ascii="Times New Roman" w:hAnsi="Times New Roman" w:cs="Times New Roman"/>
          <w:bCs/>
          <w:iCs/>
          <w:sz w:val="24"/>
          <w:szCs w:val="20"/>
        </w:rPr>
        <w:t>. Par</w:t>
      </w:r>
      <w:r w:rsidR="00B64D4B" w:rsidRPr="006973B5">
        <w:rPr>
          <w:rFonts w:ascii="Times New Roman" w:hAnsi="Times New Roman" w:cs="Times New Roman"/>
          <w:bCs/>
          <w:iCs/>
          <w:sz w:val="24"/>
          <w:szCs w:val="20"/>
        </w:rPr>
        <w:t xml:space="preserve"> contre</w:t>
      </w:r>
      <w:r w:rsidR="00F61102" w:rsidRPr="006973B5">
        <w:rPr>
          <w:rFonts w:ascii="Times New Roman" w:hAnsi="Times New Roman" w:cs="Times New Roman"/>
          <w:bCs/>
          <w:iCs/>
          <w:sz w:val="24"/>
          <w:szCs w:val="20"/>
        </w:rPr>
        <w:t>,</w:t>
      </w:r>
      <w:r w:rsidR="00B64D4B" w:rsidRPr="006973B5">
        <w:rPr>
          <w:rFonts w:ascii="Times New Roman" w:hAnsi="Times New Roman" w:cs="Times New Roman"/>
          <w:bCs/>
          <w:iCs/>
          <w:sz w:val="24"/>
          <w:szCs w:val="20"/>
        </w:rPr>
        <w:t xml:space="preserve"> </w:t>
      </w:r>
      <w:r w:rsidR="007F0735" w:rsidRPr="006973B5">
        <w:rPr>
          <w:rFonts w:ascii="Times New Roman" w:hAnsi="Times New Roman" w:cs="Times New Roman"/>
          <w:bCs/>
          <w:iCs/>
          <w:sz w:val="24"/>
          <w:szCs w:val="20"/>
        </w:rPr>
        <w:t xml:space="preserve">aucun jeune en </w:t>
      </w:r>
      <w:r w:rsidR="00F03736" w:rsidRPr="006973B5">
        <w:rPr>
          <w:rFonts w:ascii="Times New Roman" w:hAnsi="Times New Roman" w:cs="Times New Roman"/>
          <w:bCs/>
          <w:iCs/>
          <w:sz w:val="24"/>
          <w:szCs w:val="20"/>
        </w:rPr>
        <w:t>emploi de niveau d’étude supérieur n’évolue dans le secteur public. Ceci s’</w:t>
      </w:r>
      <w:r w:rsidR="00F61102" w:rsidRPr="006973B5">
        <w:rPr>
          <w:rFonts w:ascii="Times New Roman" w:hAnsi="Times New Roman" w:cs="Times New Roman"/>
          <w:bCs/>
          <w:iCs/>
          <w:sz w:val="24"/>
          <w:szCs w:val="20"/>
        </w:rPr>
        <w:t xml:space="preserve">explique par le fait qu’en général, l’accès à l’emploi au niveau du secteur public se fait sur la base d’un concours </w:t>
      </w:r>
      <w:r w:rsidR="00A82F92" w:rsidRPr="006973B5">
        <w:rPr>
          <w:rFonts w:ascii="Times New Roman" w:hAnsi="Times New Roman" w:cs="Times New Roman"/>
          <w:bCs/>
          <w:iCs/>
          <w:sz w:val="24"/>
          <w:szCs w:val="20"/>
        </w:rPr>
        <w:t xml:space="preserve">qui nécessite un diplôme d’étude secondaire ou d’étude supérieure. A 24 ans, très peu de jeunes arrivent à obtenir un diplôme d’étude </w:t>
      </w:r>
      <w:r w:rsidR="008C3B0C" w:rsidRPr="006973B5">
        <w:rPr>
          <w:rFonts w:ascii="Times New Roman" w:hAnsi="Times New Roman" w:cs="Times New Roman"/>
          <w:bCs/>
          <w:iCs/>
          <w:sz w:val="24"/>
          <w:szCs w:val="20"/>
        </w:rPr>
        <w:t>supérieure</w:t>
      </w:r>
      <w:r w:rsidR="00941D63" w:rsidRPr="006973B5">
        <w:rPr>
          <w:rStyle w:val="Appelnotedebasdep"/>
          <w:rFonts w:ascii="Times New Roman" w:hAnsi="Times New Roman" w:cs="Times New Roman"/>
          <w:bCs/>
          <w:iCs/>
          <w:sz w:val="24"/>
          <w:szCs w:val="20"/>
        </w:rPr>
        <w:footnoteReference w:id="4"/>
      </w:r>
      <w:r w:rsidR="008C3B0C" w:rsidRPr="006973B5">
        <w:rPr>
          <w:rFonts w:ascii="Times New Roman" w:hAnsi="Times New Roman" w:cs="Times New Roman"/>
          <w:bCs/>
          <w:iCs/>
          <w:sz w:val="24"/>
          <w:szCs w:val="20"/>
        </w:rPr>
        <w:t xml:space="preserve"> et décrocher du coup un emploi  dans le secteur public</w:t>
      </w:r>
      <w:r w:rsidR="008A2D54" w:rsidRPr="006973B5">
        <w:rPr>
          <w:rFonts w:ascii="Times New Roman" w:hAnsi="Times New Roman" w:cs="Times New Roman"/>
          <w:bCs/>
          <w:iCs/>
          <w:sz w:val="24"/>
          <w:szCs w:val="20"/>
        </w:rPr>
        <w:t xml:space="preserve">. Une </w:t>
      </w:r>
      <w:r w:rsidR="008A2D54" w:rsidRPr="006973B5">
        <w:rPr>
          <w:rFonts w:ascii="Times New Roman" w:hAnsi="Times New Roman" w:cs="Times New Roman"/>
          <w:bCs/>
          <w:iCs/>
          <w:sz w:val="24"/>
          <w:szCs w:val="20"/>
        </w:rPr>
        <w:lastRenderedPageBreak/>
        <w:t xml:space="preserve">proportion importante </w:t>
      </w:r>
      <w:r w:rsidR="000A265B" w:rsidRPr="006973B5">
        <w:rPr>
          <w:rFonts w:ascii="Times New Roman" w:hAnsi="Times New Roman" w:cs="Times New Roman"/>
          <w:bCs/>
          <w:iCs/>
          <w:sz w:val="24"/>
          <w:szCs w:val="20"/>
        </w:rPr>
        <w:t xml:space="preserve">(40,9%) </w:t>
      </w:r>
      <w:r w:rsidR="008A2D54" w:rsidRPr="006973B5">
        <w:rPr>
          <w:rFonts w:ascii="Times New Roman" w:hAnsi="Times New Roman" w:cs="Times New Roman"/>
          <w:bCs/>
          <w:iCs/>
          <w:sz w:val="24"/>
          <w:szCs w:val="20"/>
        </w:rPr>
        <w:t xml:space="preserve">des jeunes en emploi ayant le niveau d’étude </w:t>
      </w:r>
      <w:r w:rsidR="00515ED1" w:rsidRPr="006973B5">
        <w:rPr>
          <w:rFonts w:ascii="Times New Roman" w:hAnsi="Times New Roman" w:cs="Times New Roman"/>
          <w:bCs/>
          <w:iCs/>
          <w:sz w:val="24"/>
          <w:szCs w:val="20"/>
        </w:rPr>
        <w:t xml:space="preserve">supérieure </w:t>
      </w:r>
      <w:r w:rsidR="0083549C" w:rsidRPr="006973B5">
        <w:rPr>
          <w:rFonts w:ascii="Times New Roman" w:hAnsi="Times New Roman" w:cs="Times New Roman"/>
          <w:bCs/>
          <w:iCs/>
          <w:sz w:val="24"/>
          <w:szCs w:val="20"/>
        </w:rPr>
        <w:t xml:space="preserve">sont employés comme personnel de maison. </w:t>
      </w:r>
      <w:r w:rsidR="008A11CF" w:rsidRPr="006973B5">
        <w:rPr>
          <w:rFonts w:ascii="Times New Roman" w:hAnsi="Times New Roman" w:cs="Times New Roman"/>
          <w:bCs/>
          <w:iCs/>
          <w:sz w:val="24"/>
          <w:szCs w:val="20"/>
        </w:rPr>
        <w:t>Ceci mérite</w:t>
      </w:r>
      <w:r w:rsidR="00DF6483" w:rsidRPr="006973B5">
        <w:rPr>
          <w:rFonts w:ascii="Times New Roman" w:hAnsi="Times New Roman" w:cs="Times New Roman"/>
          <w:bCs/>
          <w:iCs/>
          <w:sz w:val="24"/>
          <w:szCs w:val="20"/>
        </w:rPr>
        <w:t xml:space="preserve"> une analyse approfondie afin de comprendre ce qui serait à la base de cette situation.</w:t>
      </w:r>
    </w:p>
    <w:p w:rsidR="00A15D25" w:rsidRPr="006973B5" w:rsidRDefault="00A15D25" w:rsidP="00E42400">
      <w:pPr>
        <w:spacing w:after="0"/>
        <w:rPr>
          <w:rFonts w:ascii="Times New Roman" w:hAnsi="Times New Roman" w:cs="Times New Roman"/>
          <w:sz w:val="20"/>
          <w:szCs w:val="20"/>
        </w:rPr>
      </w:pPr>
    </w:p>
    <w:p w:rsidR="00B44614" w:rsidRPr="006973B5" w:rsidRDefault="00C8286D" w:rsidP="00937EDF">
      <w:pPr>
        <w:pStyle w:val="Titre2"/>
        <w:numPr>
          <w:ilvl w:val="1"/>
          <w:numId w:val="14"/>
        </w:numPr>
        <w:rPr>
          <w:rFonts w:ascii="Times New Roman" w:hAnsi="Times New Roman" w:cs="Times New Roman"/>
          <w:b/>
          <w:color w:val="auto"/>
        </w:rPr>
      </w:pPr>
      <w:bookmarkStart w:id="32" w:name="_Toc514766175"/>
      <w:bookmarkStart w:id="33" w:name="_Toc516676418"/>
      <w:r w:rsidRPr="006973B5">
        <w:rPr>
          <w:rFonts w:ascii="Times New Roman" w:hAnsi="Times New Roman" w:cs="Times New Roman"/>
          <w:b/>
          <w:color w:val="auto"/>
        </w:rPr>
        <w:t>Emploi des jeunes selon la nature</w:t>
      </w:r>
      <w:bookmarkEnd w:id="32"/>
      <w:bookmarkEnd w:id="33"/>
    </w:p>
    <w:p w:rsidR="00613ECD" w:rsidRPr="006973B5" w:rsidRDefault="00613ECD" w:rsidP="00C8286D"/>
    <w:p w:rsidR="00EC7626" w:rsidRPr="006973B5" w:rsidRDefault="001551DD" w:rsidP="00C36FD7">
      <w:pPr>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Les jeunes occupent en grande majorité des emplois informels (96% contre seulement 4% </w:t>
      </w:r>
      <w:r w:rsidR="001C4963" w:rsidRPr="006973B5">
        <w:rPr>
          <w:rFonts w:ascii="Times New Roman" w:hAnsi="Times New Roman" w:cs="Times New Roman"/>
          <w:bCs/>
          <w:iCs/>
          <w:sz w:val="24"/>
          <w:szCs w:val="20"/>
        </w:rPr>
        <w:t>d’</w:t>
      </w:r>
      <w:r w:rsidRPr="006973B5">
        <w:rPr>
          <w:rFonts w:ascii="Times New Roman" w:hAnsi="Times New Roman" w:cs="Times New Roman"/>
          <w:bCs/>
          <w:iCs/>
          <w:sz w:val="24"/>
          <w:szCs w:val="20"/>
        </w:rPr>
        <w:t xml:space="preserve">emplois formel). </w:t>
      </w:r>
      <w:r w:rsidR="00F2031B" w:rsidRPr="006973B5">
        <w:rPr>
          <w:rFonts w:ascii="Times New Roman" w:hAnsi="Times New Roman" w:cs="Times New Roman"/>
          <w:bCs/>
          <w:iCs/>
          <w:sz w:val="24"/>
          <w:szCs w:val="20"/>
        </w:rPr>
        <w:t xml:space="preserve">Hormis la région de Sikasso, le taux </w:t>
      </w:r>
      <w:r w:rsidRPr="006973B5">
        <w:rPr>
          <w:rFonts w:ascii="Times New Roman" w:hAnsi="Times New Roman" w:cs="Times New Roman"/>
          <w:bCs/>
          <w:iCs/>
          <w:sz w:val="24"/>
          <w:szCs w:val="20"/>
        </w:rPr>
        <w:t xml:space="preserve">d’emploi informel </w:t>
      </w:r>
      <w:r w:rsidR="00F2031B" w:rsidRPr="006973B5">
        <w:rPr>
          <w:rFonts w:ascii="Times New Roman" w:hAnsi="Times New Roman" w:cs="Times New Roman"/>
          <w:bCs/>
          <w:iCs/>
          <w:sz w:val="24"/>
          <w:szCs w:val="20"/>
        </w:rPr>
        <w:t xml:space="preserve">dépasse les 96% (niveau national) dans toutes les régions et dans le District de Bamako. Cette situation n’est pas seulement propre aux jeunes. </w:t>
      </w:r>
      <w:r w:rsidR="00226A7F" w:rsidRPr="006973B5">
        <w:rPr>
          <w:rFonts w:ascii="Times New Roman" w:hAnsi="Times New Roman" w:cs="Times New Roman"/>
          <w:bCs/>
          <w:iCs/>
          <w:sz w:val="24"/>
          <w:szCs w:val="20"/>
        </w:rPr>
        <w:t xml:space="preserve">Le taux d’emploi informel est très élevé au Mali. Selon les résultats </w:t>
      </w:r>
      <w:r w:rsidR="00AD3E3E" w:rsidRPr="006973B5">
        <w:rPr>
          <w:rFonts w:ascii="Times New Roman" w:hAnsi="Times New Roman" w:cs="Times New Roman"/>
          <w:bCs/>
          <w:iCs/>
          <w:sz w:val="24"/>
          <w:szCs w:val="20"/>
        </w:rPr>
        <w:t>des différentes enquêtes</w:t>
      </w:r>
      <w:r w:rsidR="00226A7F" w:rsidRPr="006973B5">
        <w:rPr>
          <w:rFonts w:ascii="Times New Roman" w:hAnsi="Times New Roman" w:cs="Times New Roman"/>
          <w:bCs/>
          <w:iCs/>
          <w:sz w:val="24"/>
          <w:szCs w:val="20"/>
        </w:rPr>
        <w:t xml:space="preserve"> emploi, il a toujours avoisiné les 95%. </w:t>
      </w:r>
      <w:r w:rsidR="00EC7626" w:rsidRPr="006973B5">
        <w:rPr>
          <w:rFonts w:ascii="Times New Roman" w:hAnsi="Times New Roman" w:cs="Times New Roman"/>
          <w:bCs/>
          <w:iCs/>
          <w:sz w:val="24"/>
          <w:szCs w:val="20"/>
        </w:rPr>
        <w:t xml:space="preserve">Dans </w:t>
      </w:r>
      <w:r w:rsidR="00C36FD7" w:rsidRPr="006973B5">
        <w:rPr>
          <w:rFonts w:ascii="Times New Roman" w:hAnsi="Times New Roman" w:cs="Times New Roman"/>
          <w:bCs/>
          <w:iCs/>
          <w:sz w:val="24"/>
          <w:szCs w:val="20"/>
        </w:rPr>
        <w:t xml:space="preserve">la </w:t>
      </w:r>
      <w:r w:rsidR="00174DC0" w:rsidRPr="006973B5">
        <w:rPr>
          <w:rFonts w:ascii="Times New Roman" w:hAnsi="Times New Roman" w:cs="Times New Roman"/>
          <w:bCs/>
          <w:iCs/>
          <w:sz w:val="24"/>
          <w:szCs w:val="20"/>
        </w:rPr>
        <w:t>plupart</w:t>
      </w:r>
      <w:r w:rsidR="00C36FD7" w:rsidRPr="006973B5">
        <w:rPr>
          <w:rFonts w:ascii="Times New Roman" w:hAnsi="Times New Roman" w:cs="Times New Roman"/>
          <w:bCs/>
          <w:iCs/>
          <w:sz w:val="24"/>
          <w:szCs w:val="20"/>
        </w:rPr>
        <w:t xml:space="preserve"> des </w:t>
      </w:r>
      <w:r w:rsidR="00EC7626" w:rsidRPr="006973B5">
        <w:rPr>
          <w:rFonts w:ascii="Times New Roman" w:hAnsi="Times New Roman" w:cs="Times New Roman"/>
          <w:bCs/>
          <w:iCs/>
          <w:sz w:val="24"/>
          <w:szCs w:val="20"/>
        </w:rPr>
        <w:t xml:space="preserve">pays en développement </w:t>
      </w:r>
      <w:r w:rsidR="00C36FD7" w:rsidRPr="006973B5">
        <w:rPr>
          <w:rFonts w:ascii="Times New Roman" w:hAnsi="Times New Roman" w:cs="Times New Roman"/>
          <w:bCs/>
          <w:iCs/>
          <w:sz w:val="24"/>
          <w:szCs w:val="20"/>
        </w:rPr>
        <w:t xml:space="preserve">et particulièrement au Mali, l’absence d’assurance </w:t>
      </w:r>
      <w:r w:rsidR="00EC7626" w:rsidRPr="006973B5">
        <w:rPr>
          <w:rFonts w:ascii="Times New Roman" w:hAnsi="Times New Roman" w:cs="Times New Roman"/>
          <w:bCs/>
          <w:iCs/>
          <w:sz w:val="24"/>
          <w:szCs w:val="20"/>
        </w:rPr>
        <w:t>chômage</w:t>
      </w:r>
      <w:r w:rsidR="00C36FD7" w:rsidRPr="006973B5">
        <w:rPr>
          <w:rFonts w:ascii="Times New Roman" w:hAnsi="Times New Roman" w:cs="Times New Roman"/>
          <w:bCs/>
          <w:iCs/>
          <w:sz w:val="24"/>
          <w:szCs w:val="20"/>
        </w:rPr>
        <w:t xml:space="preserve"> fait </w:t>
      </w:r>
      <w:r w:rsidR="001C4963" w:rsidRPr="006973B5">
        <w:rPr>
          <w:rFonts w:ascii="Times New Roman" w:hAnsi="Times New Roman" w:cs="Times New Roman"/>
          <w:bCs/>
          <w:iCs/>
          <w:sz w:val="24"/>
          <w:szCs w:val="20"/>
        </w:rPr>
        <w:t xml:space="preserve">que </w:t>
      </w:r>
      <w:r w:rsidR="00C36FD7" w:rsidRPr="006973B5">
        <w:rPr>
          <w:rFonts w:ascii="Times New Roman" w:hAnsi="Times New Roman" w:cs="Times New Roman"/>
          <w:bCs/>
          <w:iCs/>
          <w:sz w:val="24"/>
          <w:szCs w:val="20"/>
        </w:rPr>
        <w:t>ceux qui sont privés d’emploi sont</w:t>
      </w:r>
      <w:r w:rsidR="00EC7626" w:rsidRPr="006973B5">
        <w:rPr>
          <w:rFonts w:ascii="Times New Roman" w:hAnsi="Times New Roman" w:cs="Times New Roman"/>
          <w:bCs/>
          <w:iCs/>
          <w:sz w:val="24"/>
          <w:szCs w:val="20"/>
        </w:rPr>
        <w:t xml:space="preserve"> obligés d’accepter des emplois informels : mal rémunérés et sans protection sociale</w:t>
      </w:r>
      <w:r w:rsidR="002F0FDB" w:rsidRPr="006973B5">
        <w:rPr>
          <w:rFonts w:ascii="Times New Roman" w:hAnsi="Times New Roman" w:cs="Times New Roman"/>
          <w:bCs/>
          <w:iCs/>
          <w:sz w:val="24"/>
          <w:szCs w:val="20"/>
        </w:rPr>
        <w:t>. Ceci peut avoir comme conséquence l’aggravation de la pauvreté</w:t>
      </w:r>
      <w:r w:rsidR="00EC7626" w:rsidRPr="006973B5">
        <w:rPr>
          <w:rFonts w:ascii="Times New Roman" w:hAnsi="Times New Roman" w:cs="Times New Roman"/>
          <w:bCs/>
          <w:iCs/>
          <w:sz w:val="24"/>
          <w:szCs w:val="20"/>
        </w:rPr>
        <w:t>.</w:t>
      </w:r>
      <w:r w:rsidR="002F0FDB" w:rsidRPr="006973B5">
        <w:rPr>
          <w:rFonts w:ascii="Times New Roman" w:hAnsi="Times New Roman" w:cs="Times New Roman"/>
          <w:bCs/>
          <w:iCs/>
          <w:sz w:val="24"/>
          <w:szCs w:val="20"/>
        </w:rPr>
        <w:t xml:space="preserve"> </w:t>
      </w:r>
    </w:p>
    <w:p w:rsidR="00EC7626" w:rsidRPr="006973B5" w:rsidRDefault="00EC7626" w:rsidP="00BC7AE2">
      <w:pPr>
        <w:spacing w:after="0"/>
      </w:pPr>
    </w:p>
    <w:p w:rsidR="00C8286D" w:rsidRPr="006973B5" w:rsidRDefault="00C8286D" w:rsidP="00C8286D">
      <w:pPr>
        <w:spacing w:after="0"/>
        <w:rPr>
          <w:rFonts w:ascii="Times New Roman" w:hAnsi="Times New Roman" w:cs="Times New Roman"/>
          <w:bCs/>
          <w:i/>
          <w:iCs/>
          <w:sz w:val="20"/>
          <w:szCs w:val="20"/>
        </w:rPr>
      </w:pPr>
      <w:bookmarkStart w:id="34" w:name="_Toc516676460"/>
      <w:bookmarkStart w:id="35" w:name="_Toc513538303"/>
      <w:r w:rsidRPr="006973B5">
        <w:rPr>
          <w:rFonts w:ascii="Times New Roman" w:hAnsi="Times New Roman" w:cs="Times New Roman"/>
          <w:bCs/>
          <w:i/>
          <w:iCs/>
          <w:sz w:val="20"/>
          <w:szCs w:val="20"/>
        </w:rPr>
        <w:t xml:space="preserve">Tableau </w:t>
      </w:r>
      <w:r w:rsidR="00211B05" w:rsidRPr="006973B5">
        <w:rPr>
          <w:rFonts w:ascii="Times New Roman" w:hAnsi="Times New Roman" w:cs="Times New Roman"/>
          <w:bCs/>
          <w:i/>
          <w:iCs/>
          <w:sz w:val="20"/>
          <w:szCs w:val="20"/>
        </w:rPr>
        <w:fldChar w:fldCharType="begin"/>
      </w:r>
      <w:r w:rsidR="00211B05" w:rsidRPr="006973B5">
        <w:rPr>
          <w:rFonts w:ascii="Times New Roman" w:hAnsi="Times New Roman" w:cs="Times New Roman"/>
          <w:bCs/>
          <w:i/>
          <w:iCs/>
          <w:sz w:val="20"/>
          <w:szCs w:val="20"/>
        </w:rPr>
        <w:instrText xml:space="preserve"> SEQ Tableau \* ARABIC </w:instrText>
      </w:r>
      <w:r w:rsidR="00211B05" w:rsidRPr="006973B5">
        <w:rPr>
          <w:rFonts w:ascii="Times New Roman" w:hAnsi="Times New Roman" w:cs="Times New Roman"/>
          <w:bCs/>
          <w:i/>
          <w:iCs/>
          <w:sz w:val="20"/>
          <w:szCs w:val="20"/>
        </w:rPr>
        <w:fldChar w:fldCharType="separate"/>
      </w:r>
      <w:r w:rsidR="00211B05" w:rsidRPr="006973B5">
        <w:rPr>
          <w:rFonts w:ascii="Times New Roman" w:hAnsi="Times New Roman" w:cs="Times New Roman"/>
          <w:bCs/>
          <w:i/>
          <w:iCs/>
          <w:noProof/>
          <w:sz w:val="20"/>
          <w:szCs w:val="20"/>
        </w:rPr>
        <w:t>8</w:t>
      </w:r>
      <w:r w:rsidR="00211B05" w:rsidRPr="006973B5">
        <w:rPr>
          <w:rFonts w:ascii="Times New Roman" w:hAnsi="Times New Roman" w:cs="Times New Roman"/>
          <w:bCs/>
          <w:i/>
          <w:iCs/>
          <w:sz w:val="20"/>
          <w:szCs w:val="20"/>
        </w:rPr>
        <w:fldChar w:fldCharType="end"/>
      </w:r>
      <w:r w:rsidRPr="006973B5">
        <w:rPr>
          <w:rFonts w:ascii="Times New Roman" w:hAnsi="Times New Roman" w:cs="Times New Roman"/>
          <w:bCs/>
          <w:i/>
          <w:iCs/>
          <w:sz w:val="20"/>
          <w:szCs w:val="20"/>
        </w:rPr>
        <w:t xml:space="preserve">. Taux d’emploi informel </w:t>
      </w:r>
      <w:r w:rsidR="006B4D83" w:rsidRPr="006973B5">
        <w:rPr>
          <w:rFonts w:ascii="Times New Roman" w:hAnsi="Times New Roman" w:cs="Times New Roman"/>
          <w:bCs/>
          <w:i/>
          <w:iCs/>
          <w:sz w:val="20"/>
          <w:szCs w:val="20"/>
        </w:rPr>
        <w:t xml:space="preserve">et formel </w:t>
      </w:r>
      <w:r w:rsidRPr="006973B5">
        <w:rPr>
          <w:rFonts w:ascii="Times New Roman" w:hAnsi="Times New Roman" w:cs="Times New Roman"/>
          <w:bCs/>
          <w:i/>
          <w:iCs/>
          <w:sz w:val="20"/>
          <w:szCs w:val="20"/>
        </w:rPr>
        <w:t>des jeunes</w:t>
      </w:r>
      <w:bookmarkEnd w:id="34"/>
      <w:r w:rsidRPr="006973B5">
        <w:rPr>
          <w:rFonts w:ascii="Times New Roman" w:hAnsi="Times New Roman" w:cs="Times New Roman"/>
          <w:bCs/>
          <w:i/>
          <w:iCs/>
          <w:sz w:val="20"/>
          <w:szCs w:val="20"/>
        </w:rPr>
        <w:t xml:space="preserve"> </w:t>
      </w:r>
      <w:bookmarkEnd w:id="35"/>
    </w:p>
    <w:tbl>
      <w:tblPr>
        <w:tblW w:w="9534" w:type="dxa"/>
        <w:tblInd w:w="70" w:type="dxa"/>
        <w:tblCellMar>
          <w:left w:w="70" w:type="dxa"/>
          <w:right w:w="70" w:type="dxa"/>
        </w:tblCellMar>
        <w:tblLook w:val="04A0" w:firstRow="1" w:lastRow="0" w:firstColumn="1" w:lastColumn="0" w:noHBand="0" w:noVBand="1"/>
      </w:tblPr>
      <w:tblGrid>
        <w:gridCol w:w="2033"/>
        <w:gridCol w:w="1463"/>
        <w:gridCol w:w="1112"/>
        <w:gridCol w:w="954"/>
        <w:gridCol w:w="953"/>
        <w:gridCol w:w="1112"/>
        <w:gridCol w:w="954"/>
        <w:gridCol w:w="953"/>
      </w:tblGrid>
      <w:tr w:rsidR="00155C6E" w:rsidRPr="006973B5" w:rsidTr="00155C6E">
        <w:trPr>
          <w:trHeight w:val="253"/>
        </w:trPr>
        <w:tc>
          <w:tcPr>
            <w:tcW w:w="3496" w:type="dxa"/>
            <w:gridSpan w:val="2"/>
            <w:vMerge w:val="restart"/>
            <w:tcBorders>
              <w:top w:val="single" w:sz="12" w:space="0" w:color="538135" w:themeColor="accent6" w:themeShade="BF"/>
            </w:tcBorders>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 </w:t>
            </w:r>
          </w:p>
        </w:tc>
        <w:tc>
          <w:tcPr>
            <w:tcW w:w="3019" w:type="dxa"/>
            <w:gridSpan w:val="3"/>
            <w:tcBorders>
              <w:top w:val="single" w:sz="12" w:space="0" w:color="538135" w:themeColor="accent6" w:themeShade="BF"/>
              <w:bottom w:val="single" w:sz="8" w:space="0" w:color="538135" w:themeColor="accent6" w:themeShade="BF"/>
            </w:tcBorders>
            <w:shd w:val="clear" w:color="auto" w:fill="auto"/>
            <w:vAlign w:val="center"/>
            <w:hideMark/>
          </w:tcPr>
          <w:p w:rsidR="00701441" w:rsidRPr="006973B5" w:rsidRDefault="00701441" w:rsidP="00701441">
            <w:pPr>
              <w:spacing w:after="0" w:line="240" w:lineRule="auto"/>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Taux d'emploi informel</w:t>
            </w:r>
          </w:p>
        </w:tc>
        <w:tc>
          <w:tcPr>
            <w:tcW w:w="3019" w:type="dxa"/>
            <w:gridSpan w:val="3"/>
            <w:tcBorders>
              <w:top w:val="single" w:sz="12" w:space="0" w:color="538135" w:themeColor="accent6" w:themeShade="BF"/>
              <w:bottom w:val="single" w:sz="8" w:space="0" w:color="538135" w:themeColor="accent6" w:themeShade="BF"/>
            </w:tcBorders>
            <w:shd w:val="clear" w:color="auto" w:fill="auto"/>
            <w:vAlign w:val="center"/>
            <w:hideMark/>
          </w:tcPr>
          <w:p w:rsidR="00701441" w:rsidRPr="006973B5" w:rsidRDefault="00701441" w:rsidP="00701441">
            <w:pPr>
              <w:spacing w:after="0" w:line="240" w:lineRule="auto"/>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Taux d'emploi formel</w:t>
            </w:r>
          </w:p>
        </w:tc>
      </w:tr>
      <w:tr w:rsidR="00701441" w:rsidRPr="006973B5" w:rsidTr="00AD3E3E">
        <w:trPr>
          <w:trHeight w:val="253"/>
        </w:trPr>
        <w:tc>
          <w:tcPr>
            <w:tcW w:w="3496" w:type="dxa"/>
            <w:gridSpan w:val="2"/>
            <w:vMerge/>
            <w:tcBorders>
              <w:bottom w:val="single" w:sz="12" w:space="0" w:color="538135" w:themeColor="accent6" w:themeShade="BF"/>
            </w:tcBorders>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p>
        </w:tc>
        <w:tc>
          <w:tcPr>
            <w:tcW w:w="1112" w:type="dxa"/>
            <w:tcBorders>
              <w:top w:val="single" w:sz="8" w:space="0" w:color="538135" w:themeColor="accent6" w:themeShade="BF"/>
              <w:bottom w:val="single" w:sz="12" w:space="0" w:color="538135" w:themeColor="accent6" w:themeShade="BF"/>
            </w:tcBorders>
            <w:shd w:val="clear" w:color="auto" w:fill="auto"/>
            <w:vAlign w:val="center"/>
            <w:hideMark/>
          </w:tcPr>
          <w:p w:rsidR="00701441" w:rsidRPr="006973B5" w:rsidRDefault="00701441" w:rsidP="00701441">
            <w:pPr>
              <w:spacing w:after="0" w:line="240" w:lineRule="auto"/>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Masculin</w:t>
            </w:r>
          </w:p>
        </w:tc>
        <w:tc>
          <w:tcPr>
            <w:tcW w:w="954" w:type="dxa"/>
            <w:tcBorders>
              <w:top w:val="single" w:sz="8" w:space="0" w:color="538135" w:themeColor="accent6" w:themeShade="BF"/>
              <w:bottom w:val="single" w:sz="12" w:space="0" w:color="538135" w:themeColor="accent6" w:themeShade="BF"/>
            </w:tcBorders>
            <w:shd w:val="clear" w:color="auto" w:fill="auto"/>
            <w:vAlign w:val="center"/>
            <w:hideMark/>
          </w:tcPr>
          <w:p w:rsidR="00701441" w:rsidRPr="006973B5" w:rsidRDefault="00701441" w:rsidP="00701441">
            <w:pPr>
              <w:spacing w:after="0" w:line="240" w:lineRule="auto"/>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Féminin</w:t>
            </w:r>
          </w:p>
        </w:tc>
        <w:tc>
          <w:tcPr>
            <w:tcW w:w="953" w:type="dxa"/>
            <w:tcBorders>
              <w:top w:val="single" w:sz="8" w:space="0" w:color="538135" w:themeColor="accent6" w:themeShade="BF"/>
              <w:bottom w:val="single" w:sz="12" w:space="0" w:color="538135" w:themeColor="accent6" w:themeShade="BF"/>
            </w:tcBorders>
            <w:shd w:val="clear" w:color="auto" w:fill="auto"/>
            <w:vAlign w:val="center"/>
            <w:hideMark/>
          </w:tcPr>
          <w:p w:rsidR="00701441" w:rsidRPr="006973B5" w:rsidRDefault="00701441" w:rsidP="00701441">
            <w:pPr>
              <w:spacing w:after="0" w:line="240" w:lineRule="auto"/>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Total</w:t>
            </w:r>
          </w:p>
        </w:tc>
        <w:tc>
          <w:tcPr>
            <w:tcW w:w="1112" w:type="dxa"/>
            <w:tcBorders>
              <w:top w:val="single" w:sz="8" w:space="0" w:color="538135" w:themeColor="accent6" w:themeShade="BF"/>
              <w:bottom w:val="single" w:sz="12" w:space="0" w:color="538135" w:themeColor="accent6" w:themeShade="BF"/>
            </w:tcBorders>
            <w:shd w:val="clear" w:color="auto" w:fill="auto"/>
            <w:vAlign w:val="center"/>
            <w:hideMark/>
          </w:tcPr>
          <w:p w:rsidR="00701441" w:rsidRPr="006973B5" w:rsidRDefault="00701441" w:rsidP="00701441">
            <w:pPr>
              <w:spacing w:after="0" w:line="240" w:lineRule="auto"/>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Masculin</w:t>
            </w:r>
          </w:p>
        </w:tc>
        <w:tc>
          <w:tcPr>
            <w:tcW w:w="954" w:type="dxa"/>
            <w:tcBorders>
              <w:top w:val="single" w:sz="8" w:space="0" w:color="538135" w:themeColor="accent6" w:themeShade="BF"/>
              <w:bottom w:val="single" w:sz="12" w:space="0" w:color="538135" w:themeColor="accent6" w:themeShade="BF"/>
            </w:tcBorders>
            <w:shd w:val="clear" w:color="auto" w:fill="auto"/>
            <w:vAlign w:val="center"/>
            <w:hideMark/>
          </w:tcPr>
          <w:p w:rsidR="00701441" w:rsidRPr="006973B5" w:rsidRDefault="00701441" w:rsidP="00701441">
            <w:pPr>
              <w:spacing w:after="0" w:line="240" w:lineRule="auto"/>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Féminin</w:t>
            </w:r>
          </w:p>
        </w:tc>
        <w:tc>
          <w:tcPr>
            <w:tcW w:w="953" w:type="dxa"/>
            <w:tcBorders>
              <w:top w:val="single" w:sz="8" w:space="0" w:color="538135" w:themeColor="accent6" w:themeShade="BF"/>
              <w:bottom w:val="single" w:sz="12" w:space="0" w:color="538135" w:themeColor="accent6" w:themeShade="BF"/>
            </w:tcBorders>
            <w:shd w:val="clear" w:color="auto" w:fill="auto"/>
            <w:vAlign w:val="center"/>
            <w:hideMark/>
          </w:tcPr>
          <w:p w:rsidR="00701441" w:rsidRPr="006973B5" w:rsidRDefault="00701441" w:rsidP="00701441">
            <w:pPr>
              <w:spacing w:after="0" w:line="240" w:lineRule="auto"/>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Total</w:t>
            </w:r>
          </w:p>
        </w:tc>
      </w:tr>
      <w:tr w:rsidR="00701441" w:rsidRPr="006973B5" w:rsidTr="00AD3E3E">
        <w:trPr>
          <w:trHeight w:val="253"/>
        </w:trPr>
        <w:tc>
          <w:tcPr>
            <w:tcW w:w="2033" w:type="dxa"/>
            <w:vMerge w:val="restart"/>
            <w:tcBorders>
              <w:top w:val="single" w:sz="12" w:space="0" w:color="538135" w:themeColor="accent6" w:themeShade="BF"/>
            </w:tcBorders>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Zone de résidence</w:t>
            </w:r>
          </w:p>
        </w:tc>
        <w:tc>
          <w:tcPr>
            <w:tcW w:w="1463" w:type="dxa"/>
            <w:tcBorders>
              <w:top w:val="single" w:sz="12" w:space="0" w:color="538135" w:themeColor="accent6" w:themeShade="BF"/>
            </w:tcBorders>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Bamako</w:t>
            </w:r>
          </w:p>
        </w:tc>
        <w:tc>
          <w:tcPr>
            <w:tcW w:w="1112" w:type="dxa"/>
            <w:tcBorders>
              <w:top w:val="single" w:sz="12" w:space="0" w:color="538135" w:themeColor="accent6" w:themeShade="BF"/>
            </w:tcBorders>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98,2</w:t>
            </w:r>
          </w:p>
        </w:tc>
        <w:tc>
          <w:tcPr>
            <w:tcW w:w="954" w:type="dxa"/>
            <w:tcBorders>
              <w:top w:val="single" w:sz="12" w:space="0" w:color="538135" w:themeColor="accent6" w:themeShade="BF"/>
            </w:tcBorders>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97,5</w:t>
            </w:r>
          </w:p>
        </w:tc>
        <w:tc>
          <w:tcPr>
            <w:tcW w:w="953" w:type="dxa"/>
            <w:tcBorders>
              <w:top w:val="single" w:sz="12" w:space="0" w:color="538135" w:themeColor="accent6" w:themeShade="BF"/>
            </w:tcBorders>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97,8</w:t>
            </w:r>
          </w:p>
        </w:tc>
        <w:tc>
          <w:tcPr>
            <w:tcW w:w="1112" w:type="dxa"/>
            <w:tcBorders>
              <w:top w:val="single" w:sz="12" w:space="0" w:color="538135" w:themeColor="accent6" w:themeShade="BF"/>
            </w:tcBorders>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1,8</w:t>
            </w:r>
          </w:p>
        </w:tc>
        <w:tc>
          <w:tcPr>
            <w:tcW w:w="954" w:type="dxa"/>
            <w:tcBorders>
              <w:top w:val="single" w:sz="12" w:space="0" w:color="538135" w:themeColor="accent6" w:themeShade="BF"/>
            </w:tcBorders>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2,5</w:t>
            </w:r>
          </w:p>
        </w:tc>
        <w:tc>
          <w:tcPr>
            <w:tcW w:w="953" w:type="dxa"/>
            <w:tcBorders>
              <w:top w:val="single" w:sz="12" w:space="0" w:color="538135" w:themeColor="accent6" w:themeShade="BF"/>
            </w:tcBorders>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2,2</w:t>
            </w:r>
          </w:p>
        </w:tc>
      </w:tr>
      <w:tr w:rsidR="00701441" w:rsidRPr="006973B5" w:rsidTr="00AD3E3E">
        <w:trPr>
          <w:trHeight w:val="253"/>
        </w:trPr>
        <w:tc>
          <w:tcPr>
            <w:tcW w:w="2033" w:type="dxa"/>
            <w:vMerge/>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p>
        </w:tc>
        <w:tc>
          <w:tcPr>
            <w:tcW w:w="1463" w:type="dxa"/>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Autre urbain</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95,5</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94</w:t>
            </w:r>
            <w:r w:rsidR="00CE04C8" w:rsidRPr="006973B5">
              <w:rPr>
                <w:rFonts w:ascii="Times New Roman" w:eastAsia="Times New Roman" w:hAnsi="Times New Roman" w:cs="Times New Roman"/>
                <w:color w:val="000000"/>
                <w:sz w:val="20"/>
                <w:szCs w:val="20"/>
                <w:lang w:eastAsia="fr-FR"/>
              </w:rPr>
              <w:t>,0</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94,8</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4,5</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6,0</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5,2</w:t>
            </w:r>
          </w:p>
        </w:tc>
      </w:tr>
      <w:tr w:rsidR="00701441" w:rsidRPr="006973B5" w:rsidTr="00AD3E3E">
        <w:trPr>
          <w:trHeight w:val="253"/>
        </w:trPr>
        <w:tc>
          <w:tcPr>
            <w:tcW w:w="2033" w:type="dxa"/>
            <w:vMerge/>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p>
        </w:tc>
        <w:tc>
          <w:tcPr>
            <w:tcW w:w="1463" w:type="dxa"/>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Rural</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96,4</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95,5</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96</w:t>
            </w:r>
            <w:r w:rsidR="00CE04C8" w:rsidRPr="006973B5">
              <w:rPr>
                <w:rFonts w:ascii="Times New Roman" w:eastAsia="Times New Roman" w:hAnsi="Times New Roman" w:cs="Times New Roman"/>
                <w:color w:val="000000"/>
                <w:sz w:val="20"/>
                <w:szCs w:val="20"/>
                <w:lang w:eastAsia="fr-FR"/>
              </w:rPr>
              <w:t>,0</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3,6</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4,5</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4,0</w:t>
            </w:r>
          </w:p>
        </w:tc>
      </w:tr>
      <w:tr w:rsidR="00701441" w:rsidRPr="006973B5" w:rsidTr="00AD3E3E">
        <w:trPr>
          <w:trHeight w:val="253"/>
        </w:trPr>
        <w:tc>
          <w:tcPr>
            <w:tcW w:w="2033" w:type="dxa"/>
            <w:vMerge w:val="restart"/>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Région</w:t>
            </w:r>
          </w:p>
        </w:tc>
        <w:tc>
          <w:tcPr>
            <w:tcW w:w="1463" w:type="dxa"/>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Kayes</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99,7</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99,5</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99,6</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0,3</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0,5</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0,4</w:t>
            </w:r>
          </w:p>
        </w:tc>
      </w:tr>
      <w:tr w:rsidR="00701441" w:rsidRPr="006973B5" w:rsidTr="00AD3E3E">
        <w:trPr>
          <w:trHeight w:val="253"/>
        </w:trPr>
        <w:tc>
          <w:tcPr>
            <w:tcW w:w="2033" w:type="dxa"/>
            <w:vMerge/>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p>
        </w:tc>
        <w:tc>
          <w:tcPr>
            <w:tcW w:w="1463" w:type="dxa"/>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Koulikoro</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97,4</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100</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98,2</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2,6</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0,0</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1,8</w:t>
            </w:r>
          </w:p>
        </w:tc>
      </w:tr>
      <w:tr w:rsidR="00701441" w:rsidRPr="006973B5" w:rsidTr="00AD3E3E">
        <w:trPr>
          <w:trHeight w:val="253"/>
        </w:trPr>
        <w:tc>
          <w:tcPr>
            <w:tcW w:w="2033" w:type="dxa"/>
            <w:vMerge/>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p>
        </w:tc>
        <w:tc>
          <w:tcPr>
            <w:tcW w:w="1463" w:type="dxa"/>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Sikasso</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87,9</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86,9</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87,4</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12,1</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13,1</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12,6</w:t>
            </w:r>
          </w:p>
        </w:tc>
      </w:tr>
      <w:tr w:rsidR="00701441" w:rsidRPr="006973B5" w:rsidTr="00AD3E3E">
        <w:trPr>
          <w:trHeight w:val="253"/>
        </w:trPr>
        <w:tc>
          <w:tcPr>
            <w:tcW w:w="2033" w:type="dxa"/>
            <w:vMerge/>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p>
        </w:tc>
        <w:tc>
          <w:tcPr>
            <w:tcW w:w="1463" w:type="dxa"/>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Ségou</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99,9</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99</w:t>
            </w:r>
            <w:r w:rsidR="00CE04C8" w:rsidRPr="006973B5">
              <w:rPr>
                <w:rFonts w:ascii="Times New Roman" w:eastAsia="Times New Roman" w:hAnsi="Times New Roman" w:cs="Times New Roman"/>
                <w:color w:val="000000"/>
                <w:sz w:val="20"/>
                <w:szCs w:val="20"/>
                <w:lang w:eastAsia="fr-FR"/>
              </w:rPr>
              <w:t>,0</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99,6</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0,1</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1,0</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0,4</w:t>
            </w:r>
          </w:p>
        </w:tc>
      </w:tr>
      <w:tr w:rsidR="00701441" w:rsidRPr="006973B5" w:rsidTr="00AD3E3E">
        <w:trPr>
          <w:trHeight w:val="253"/>
        </w:trPr>
        <w:tc>
          <w:tcPr>
            <w:tcW w:w="2033" w:type="dxa"/>
            <w:vMerge/>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p>
        </w:tc>
        <w:tc>
          <w:tcPr>
            <w:tcW w:w="1463" w:type="dxa"/>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Mopti</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100</w:t>
            </w:r>
            <w:r w:rsidR="00CE04C8" w:rsidRPr="006973B5">
              <w:rPr>
                <w:rFonts w:ascii="Times New Roman" w:eastAsia="Times New Roman" w:hAnsi="Times New Roman" w:cs="Times New Roman"/>
                <w:color w:val="000000"/>
                <w:sz w:val="20"/>
                <w:szCs w:val="20"/>
                <w:lang w:eastAsia="fr-FR"/>
              </w:rPr>
              <w:t>,0</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100</w:t>
            </w:r>
            <w:r w:rsidR="00CE04C8" w:rsidRPr="006973B5">
              <w:rPr>
                <w:rFonts w:ascii="Times New Roman" w:eastAsia="Times New Roman" w:hAnsi="Times New Roman" w:cs="Times New Roman"/>
                <w:color w:val="000000"/>
                <w:sz w:val="20"/>
                <w:szCs w:val="20"/>
                <w:lang w:eastAsia="fr-FR"/>
              </w:rPr>
              <w:t>,0</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100</w:t>
            </w:r>
            <w:r w:rsidR="00CE04C8" w:rsidRPr="006973B5">
              <w:rPr>
                <w:rFonts w:ascii="Times New Roman" w:eastAsia="Times New Roman" w:hAnsi="Times New Roman" w:cs="Times New Roman"/>
                <w:color w:val="000000"/>
                <w:sz w:val="20"/>
                <w:szCs w:val="20"/>
                <w:lang w:eastAsia="fr-FR"/>
              </w:rPr>
              <w:t>,0</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0,0</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0,0</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0,0</w:t>
            </w:r>
          </w:p>
        </w:tc>
      </w:tr>
      <w:tr w:rsidR="00701441" w:rsidRPr="006973B5" w:rsidTr="00AD3E3E">
        <w:trPr>
          <w:trHeight w:val="253"/>
        </w:trPr>
        <w:tc>
          <w:tcPr>
            <w:tcW w:w="2033" w:type="dxa"/>
            <w:vMerge/>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p>
        </w:tc>
        <w:tc>
          <w:tcPr>
            <w:tcW w:w="1463" w:type="dxa"/>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Tombouctou</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100</w:t>
            </w:r>
            <w:r w:rsidR="00CE04C8" w:rsidRPr="006973B5">
              <w:rPr>
                <w:rFonts w:ascii="Times New Roman" w:eastAsia="Times New Roman" w:hAnsi="Times New Roman" w:cs="Times New Roman"/>
                <w:color w:val="000000"/>
                <w:sz w:val="20"/>
                <w:szCs w:val="20"/>
                <w:lang w:eastAsia="fr-FR"/>
              </w:rPr>
              <w:t>,0</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99,1</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99,5</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0,0</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0,9</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0,5</w:t>
            </w:r>
          </w:p>
        </w:tc>
      </w:tr>
      <w:tr w:rsidR="00701441" w:rsidRPr="006973B5" w:rsidTr="00AD3E3E">
        <w:trPr>
          <w:trHeight w:val="253"/>
        </w:trPr>
        <w:tc>
          <w:tcPr>
            <w:tcW w:w="2033" w:type="dxa"/>
            <w:vMerge/>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p>
        </w:tc>
        <w:tc>
          <w:tcPr>
            <w:tcW w:w="1463" w:type="dxa"/>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Gao</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100</w:t>
            </w:r>
            <w:r w:rsidR="00CE04C8" w:rsidRPr="006973B5">
              <w:rPr>
                <w:rFonts w:ascii="Times New Roman" w:eastAsia="Times New Roman" w:hAnsi="Times New Roman" w:cs="Times New Roman"/>
                <w:color w:val="000000"/>
                <w:sz w:val="20"/>
                <w:szCs w:val="20"/>
                <w:lang w:eastAsia="fr-FR"/>
              </w:rPr>
              <w:t>,0</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91,4</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98,9</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0,0</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8,6</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1,1</w:t>
            </w:r>
          </w:p>
        </w:tc>
      </w:tr>
      <w:tr w:rsidR="00701441" w:rsidRPr="006973B5" w:rsidTr="00AD3E3E">
        <w:trPr>
          <w:trHeight w:val="253"/>
        </w:trPr>
        <w:tc>
          <w:tcPr>
            <w:tcW w:w="2033" w:type="dxa"/>
            <w:vMerge/>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p>
        </w:tc>
        <w:tc>
          <w:tcPr>
            <w:tcW w:w="1463" w:type="dxa"/>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Bamako</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98,2</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97,5</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97,8</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1,8</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2,5</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2,2</w:t>
            </w:r>
          </w:p>
        </w:tc>
      </w:tr>
      <w:tr w:rsidR="00701441" w:rsidRPr="006973B5" w:rsidTr="00AD3E3E">
        <w:trPr>
          <w:trHeight w:val="253"/>
        </w:trPr>
        <w:tc>
          <w:tcPr>
            <w:tcW w:w="2033" w:type="dxa"/>
            <w:vMerge w:val="restart"/>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Niveau d'éducation</w:t>
            </w:r>
          </w:p>
        </w:tc>
        <w:tc>
          <w:tcPr>
            <w:tcW w:w="1463" w:type="dxa"/>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Aucun niveau</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96,5</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95,2</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95,8</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3,5</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4,8</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4,2</w:t>
            </w:r>
          </w:p>
        </w:tc>
      </w:tr>
      <w:tr w:rsidR="00701441" w:rsidRPr="006973B5" w:rsidTr="00AD3E3E">
        <w:trPr>
          <w:trHeight w:val="253"/>
        </w:trPr>
        <w:tc>
          <w:tcPr>
            <w:tcW w:w="2033" w:type="dxa"/>
            <w:vMerge/>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p>
        </w:tc>
        <w:tc>
          <w:tcPr>
            <w:tcW w:w="1463" w:type="dxa"/>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Primaire</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96,6</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96,8</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96,7</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3,4</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3,2</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3,3</w:t>
            </w:r>
          </w:p>
        </w:tc>
      </w:tr>
      <w:tr w:rsidR="00701441" w:rsidRPr="006973B5" w:rsidTr="00AD3E3E">
        <w:trPr>
          <w:trHeight w:val="253"/>
        </w:trPr>
        <w:tc>
          <w:tcPr>
            <w:tcW w:w="2033" w:type="dxa"/>
            <w:vMerge/>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p>
        </w:tc>
        <w:tc>
          <w:tcPr>
            <w:tcW w:w="1463" w:type="dxa"/>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Secondaire</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92,9</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88,8</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91</w:t>
            </w:r>
            <w:r w:rsidR="00CE04C8" w:rsidRPr="006973B5">
              <w:rPr>
                <w:rFonts w:ascii="Times New Roman" w:eastAsia="Times New Roman" w:hAnsi="Times New Roman" w:cs="Times New Roman"/>
                <w:color w:val="000000"/>
                <w:sz w:val="20"/>
                <w:szCs w:val="20"/>
                <w:lang w:eastAsia="fr-FR"/>
              </w:rPr>
              <w:t>,0</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7,1</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11,2</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9,0</w:t>
            </w:r>
          </w:p>
        </w:tc>
      </w:tr>
      <w:tr w:rsidR="00701441" w:rsidRPr="006973B5" w:rsidTr="00AD3E3E">
        <w:trPr>
          <w:trHeight w:val="253"/>
        </w:trPr>
        <w:tc>
          <w:tcPr>
            <w:tcW w:w="2033" w:type="dxa"/>
            <w:vMerge/>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p>
        </w:tc>
        <w:tc>
          <w:tcPr>
            <w:tcW w:w="1463" w:type="dxa"/>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Supérieur</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86,1</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0</w:t>
            </w:r>
            <w:r w:rsidR="00CE04C8" w:rsidRPr="006973B5">
              <w:rPr>
                <w:rFonts w:ascii="Times New Roman" w:eastAsia="Times New Roman" w:hAnsi="Times New Roman" w:cs="Times New Roman"/>
                <w:color w:val="000000"/>
                <w:sz w:val="20"/>
                <w:szCs w:val="20"/>
                <w:lang w:eastAsia="fr-FR"/>
              </w:rPr>
              <w:t>,0</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77,6</w:t>
            </w:r>
          </w:p>
        </w:tc>
        <w:tc>
          <w:tcPr>
            <w:tcW w:w="1112"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13,9</w:t>
            </w:r>
          </w:p>
        </w:tc>
        <w:tc>
          <w:tcPr>
            <w:tcW w:w="954"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100,0</w:t>
            </w:r>
          </w:p>
        </w:tc>
        <w:tc>
          <w:tcPr>
            <w:tcW w:w="953" w:type="dxa"/>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22,4</w:t>
            </w:r>
          </w:p>
        </w:tc>
      </w:tr>
      <w:tr w:rsidR="00701441" w:rsidRPr="006973B5" w:rsidTr="00AD3E3E">
        <w:trPr>
          <w:trHeight w:val="253"/>
        </w:trPr>
        <w:tc>
          <w:tcPr>
            <w:tcW w:w="2033" w:type="dxa"/>
            <w:vMerge/>
            <w:tcBorders>
              <w:bottom w:val="single" w:sz="12" w:space="0" w:color="538135" w:themeColor="accent6" w:themeShade="BF"/>
            </w:tcBorders>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p>
        </w:tc>
        <w:tc>
          <w:tcPr>
            <w:tcW w:w="1463" w:type="dxa"/>
            <w:tcBorders>
              <w:bottom w:val="single" w:sz="12" w:space="0" w:color="538135" w:themeColor="accent6" w:themeShade="BF"/>
            </w:tcBorders>
            <w:shd w:val="clear" w:color="auto" w:fill="auto"/>
            <w:vAlign w:val="center"/>
            <w:hideMark/>
          </w:tcPr>
          <w:p w:rsidR="00701441" w:rsidRPr="006973B5" w:rsidRDefault="00701441" w:rsidP="00701441">
            <w:pPr>
              <w:spacing w:after="0" w:line="240" w:lineRule="auto"/>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Total</w:t>
            </w:r>
          </w:p>
        </w:tc>
        <w:tc>
          <w:tcPr>
            <w:tcW w:w="1112" w:type="dxa"/>
            <w:tcBorders>
              <w:bottom w:val="single" w:sz="12" w:space="0" w:color="538135" w:themeColor="accent6" w:themeShade="BF"/>
            </w:tcBorders>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96,5</w:t>
            </w:r>
          </w:p>
        </w:tc>
        <w:tc>
          <w:tcPr>
            <w:tcW w:w="954" w:type="dxa"/>
            <w:tcBorders>
              <w:bottom w:val="single" w:sz="12" w:space="0" w:color="538135" w:themeColor="accent6" w:themeShade="BF"/>
            </w:tcBorders>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95,6</w:t>
            </w:r>
          </w:p>
        </w:tc>
        <w:tc>
          <w:tcPr>
            <w:tcW w:w="953" w:type="dxa"/>
            <w:tcBorders>
              <w:bottom w:val="single" w:sz="12" w:space="0" w:color="538135" w:themeColor="accent6" w:themeShade="BF"/>
            </w:tcBorders>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96</w:t>
            </w:r>
            <w:r w:rsidR="00CE04C8" w:rsidRPr="006973B5">
              <w:rPr>
                <w:rFonts w:ascii="Times New Roman" w:eastAsia="Times New Roman" w:hAnsi="Times New Roman" w:cs="Times New Roman"/>
                <w:color w:val="000000"/>
                <w:sz w:val="20"/>
                <w:szCs w:val="20"/>
                <w:lang w:eastAsia="fr-FR"/>
              </w:rPr>
              <w:t>,0</w:t>
            </w:r>
          </w:p>
        </w:tc>
        <w:tc>
          <w:tcPr>
            <w:tcW w:w="1112" w:type="dxa"/>
            <w:tcBorders>
              <w:bottom w:val="single" w:sz="12" w:space="0" w:color="538135" w:themeColor="accent6" w:themeShade="BF"/>
            </w:tcBorders>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3,5</w:t>
            </w:r>
          </w:p>
        </w:tc>
        <w:tc>
          <w:tcPr>
            <w:tcW w:w="954" w:type="dxa"/>
            <w:tcBorders>
              <w:bottom w:val="single" w:sz="12" w:space="0" w:color="538135" w:themeColor="accent6" w:themeShade="BF"/>
            </w:tcBorders>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4,4</w:t>
            </w:r>
          </w:p>
        </w:tc>
        <w:tc>
          <w:tcPr>
            <w:tcW w:w="953" w:type="dxa"/>
            <w:tcBorders>
              <w:bottom w:val="single" w:sz="12" w:space="0" w:color="538135" w:themeColor="accent6" w:themeShade="BF"/>
            </w:tcBorders>
            <w:shd w:val="clear" w:color="auto" w:fill="auto"/>
            <w:noWrap/>
            <w:vAlign w:val="center"/>
            <w:hideMark/>
          </w:tcPr>
          <w:p w:rsidR="00701441" w:rsidRPr="006973B5" w:rsidRDefault="00701441" w:rsidP="00701441">
            <w:pPr>
              <w:spacing w:after="0" w:line="240" w:lineRule="auto"/>
              <w:jc w:val="right"/>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4,0</w:t>
            </w:r>
          </w:p>
        </w:tc>
      </w:tr>
    </w:tbl>
    <w:p w:rsidR="00AD3E3E" w:rsidRPr="006973B5" w:rsidRDefault="00AD3E3E" w:rsidP="00AD3E3E">
      <w:pPr>
        <w:spacing w:after="0"/>
        <w:rPr>
          <w:rFonts w:ascii="Times New Roman" w:hAnsi="Times New Roman" w:cs="Times New Roman"/>
          <w:i/>
          <w:sz w:val="20"/>
          <w:szCs w:val="20"/>
          <w:lang w:val="en-GB"/>
        </w:rPr>
      </w:pPr>
      <w:r w:rsidRPr="006973B5">
        <w:rPr>
          <w:rFonts w:ascii="Times New Roman" w:hAnsi="Times New Roman" w:cs="Times New Roman"/>
          <w:sz w:val="20"/>
          <w:szCs w:val="20"/>
          <w:u w:val="single"/>
        </w:rPr>
        <w:t>Source :</w:t>
      </w:r>
      <w:r w:rsidRPr="006973B5">
        <w:rPr>
          <w:rFonts w:ascii="Times New Roman" w:hAnsi="Times New Roman" w:cs="Times New Roman"/>
          <w:sz w:val="20"/>
          <w:szCs w:val="20"/>
        </w:rPr>
        <w:t xml:space="preserve"> ONEF, à partir des données</w:t>
      </w:r>
      <w:r w:rsidRPr="006973B5">
        <w:rPr>
          <w:rFonts w:ascii="Times New Roman" w:hAnsi="Times New Roman" w:cs="Times New Roman"/>
          <w:i/>
          <w:sz w:val="20"/>
          <w:szCs w:val="20"/>
          <w:lang w:val="en-GB"/>
        </w:rPr>
        <w:t xml:space="preserve"> EMOP-2017</w:t>
      </w:r>
    </w:p>
    <w:p w:rsidR="00BC7AE2" w:rsidRDefault="00BC7AE2">
      <w:pPr>
        <w:rPr>
          <w:rFonts w:ascii="Times New Roman" w:eastAsia="Times New Roman" w:hAnsi="Times New Roman" w:cs="Times New Roman"/>
          <w:b/>
          <w:sz w:val="32"/>
          <w:szCs w:val="32"/>
          <w:lang w:eastAsia="fr-FR"/>
        </w:rPr>
      </w:pPr>
      <w:bookmarkStart w:id="36" w:name="_Toc511311783"/>
      <w:bookmarkStart w:id="37" w:name="_Toc516676419"/>
      <w:r>
        <w:rPr>
          <w:rFonts w:ascii="Times New Roman" w:eastAsia="Times New Roman" w:hAnsi="Times New Roman" w:cs="Times New Roman"/>
          <w:b/>
          <w:lang w:eastAsia="fr-FR"/>
        </w:rPr>
        <w:br w:type="page"/>
      </w:r>
    </w:p>
    <w:p w:rsidR="00ED46E5" w:rsidRPr="006973B5" w:rsidRDefault="00E42400" w:rsidP="00937EDF">
      <w:pPr>
        <w:pStyle w:val="Titre1"/>
        <w:numPr>
          <w:ilvl w:val="0"/>
          <w:numId w:val="14"/>
        </w:numPr>
        <w:rPr>
          <w:rFonts w:ascii="Times New Roman" w:eastAsia="Times New Roman" w:hAnsi="Times New Roman" w:cs="Times New Roman"/>
          <w:b/>
          <w:color w:val="auto"/>
          <w:lang w:eastAsia="fr-FR"/>
        </w:rPr>
      </w:pPr>
      <w:r w:rsidRPr="006973B5">
        <w:rPr>
          <w:rFonts w:ascii="Times New Roman" w:eastAsia="Times New Roman" w:hAnsi="Times New Roman" w:cs="Times New Roman"/>
          <w:b/>
          <w:color w:val="auto"/>
          <w:lang w:eastAsia="fr-FR"/>
        </w:rPr>
        <w:lastRenderedPageBreak/>
        <w:t>Accès des jeunes au marché du travail</w:t>
      </w:r>
      <w:bookmarkEnd w:id="36"/>
      <w:bookmarkEnd w:id="37"/>
    </w:p>
    <w:p w:rsidR="00397A8D" w:rsidRPr="006973B5" w:rsidRDefault="00397A8D" w:rsidP="00ED46E5">
      <w:pPr>
        <w:rPr>
          <w:rFonts w:ascii="Times New Roman" w:hAnsi="Times New Roman" w:cs="Times New Roman"/>
          <w:bCs/>
          <w:iCs/>
          <w:sz w:val="18"/>
          <w:szCs w:val="20"/>
        </w:rPr>
      </w:pPr>
    </w:p>
    <w:p w:rsidR="00ED46E5" w:rsidRPr="006973B5" w:rsidRDefault="00397A8D" w:rsidP="00397A8D">
      <w:pPr>
        <w:jc w:val="both"/>
        <w:rPr>
          <w:rFonts w:ascii="Times New Roman" w:hAnsi="Times New Roman" w:cs="Times New Roman"/>
          <w:bCs/>
          <w:iCs/>
          <w:sz w:val="24"/>
          <w:szCs w:val="20"/>
        </w:rPr>
      </w:pPr>
      <w:r w:rsidRPr="006973B5">
        <w:rPr>
          <w:rFonts w:ascii="Times New Roman" w:hAnsi="Times New Roman" w:cs="Times New Roman"/>
          <w:bCs/>
          <w:iCs/>
          <w:sz w:val="24"/>
          <w:szCs w:val="20"/>
        </w:rPr>
        <w:t>Nous analysons dans un premier temps, dans ce chapitre, les caractéristiques des jeunes ni en emploi, ni en éducation, ni en formation. Dans un second, nous nous intéressons</w:t>
      </w:r>
      <w:r w:rsidR="00E3155A" w:rsidRPr="006973B5">
        <w:rPr>
          <w:rFonts w:ascii="Times New Roman" w:hAnsi="Times New Roman" w:cs="Times New Roman"/>
          <w:bCs/>
          <w:iCs/>
          <w:sz w:val="24"/>
          <w:szCs w:val="20"/>
        </w:rPr>
        <w:t xml:space="preserve"> </w:t>
      </w:r>
      <w:r w:rsidR="00010171" w:rsidRPr="006973B5">
        <w:rPr>
          <w:rFonts w:ascii="Times New Roman" w:hAnsi="Times New Roman" w:cs="Times New Roman"/>
          <w:bCs/>
          <w:iCs/>
          <w:sz w:val="24"/>
          <w:szCs w:val="20"/>
        </w:rPr>
        <w:t>aux types et nature d’emploi recherchés par les jeunes chômeurs et les types d’employeurs.</w:t>
      </w:r>
    </w:p>
    <w:p w:rsidR="00E42400" w:rsidRPr="006973B5" w:rsidRDefault="00E42400" w:rsidP="00937EDF">
      <w:pPr>
        <w:pStyle w:val="Titre2"/>
        <w:numPr>
          <w:ilvl w:val="1"/>
          <w:numId w:val="14"/>
        </w:numPr>
        <w:rPr>
          <w:rFonts w:ascii="Times New Roman" w:hAnsi="Times New Roman" w:cs="Times New Roman"/>
          <w:b/>
          <w:color w:val="auto"/>
        </w:rPr>
      </w:pPr>
      <w:bookmarkStart w:id="38" w:name="_Toc511311784"/>
      <w:bookmarkStart w:id="39" w:name="_Toc516676420"/>
      <w:r w:rsidRPr="006973B5">
        <w:rPr>
          <w:rFonts w:ascii="Times New Roman" w:hAnsi="Times New Roman" w:cs="Times New Roman"/>
          <w:b/>
          <w:color w:val="auto"/>
        </w:rPr>
        <w:t>Jeunes ni en emploi, ni en formation ou éducation (15-24 ans)</w:t>
      </w:r>
      <w:bookmarkEnd w:id="38"/>
      <w:bookmarkEnd w:id="39"/>
      <w:r w:rsidRPr="006973B5">
        <w:rPr>
          <w:rFonts w:ascii="Times New Roman" w:hAnsi="Times New Roman" w:cs="Times New Roman"/>
          <w:b/>
          <w:color w:val="auto"/>
        </w:rPr>
        <w:t xml:space="preserve"> </w:t>
      </w:r>
    </w:p>
    <w:p w:rsidR="00D26E28" w:rsidRPr="006973B5" w:rsidRDefault="00D26E28" w:rsidP="000B461A">
      <w:pPr>
        <w:jc w:val="both"/>
        <w:rPr>
          <w:rFonts w:ascii="Times New Roman" w:hAnsi="Times New Roman" w:cs="Times New Roman"/>
          <w:b/>
          <w:bCs/>
          <w:iCs/>
          <w:sz w:val="20"/>
          <w:szCs w:val="20"/>
        </w:rPr>
      </w:pPr>
    </w:p>
    <w:p w:rsidR="000B461A" w:rsidRPr="006973B5" w:rsidRDefault="000B461A" w:rsidP="000B461A">
      <w:pPr>
        <w:jc w:val="both"/>
        <w:rPr>
          <w:rFonts w:ascii="Times New Roman" w:hAnsi="Times New Roman" w:cs="Times New Roman"/>
          <w:sz w:val="24"/>
          <w:szCs w:val="20"/>
        </w:rPr>
      </w:pPr>
      <w:r w:rsidRPr="006973B5">
        <w:rPr>
          <w:rFonts w:ascii="Times New Roman" w:hAnsi="Times New Roman" w:cs="Times New Roman"/>
          <w:bCs/>
          <w:iCs/>
          <w:sz w:val="24"/>
          <w:szCs w:val="20"/>
        </w:rPr>
        <w:t>Dans le cadre de l’analyse du marché du travail, l’indicateur jeunes ni en emploi, ni en éducation, ni en formation</w:t>
      </w:r>
      <w:r w:rsidR="00D54A7B" w:rsidRPr="006973B5">
        <w:rPr>
          <w:rFonts w:ascii="Times New Roman" w:hAnsi="Times New Roman" w:cs="Times New Roman"/>
          <w:bCs/>
          <w:iCs/>
          <w:sz w:val="24"/>
          <w:szCs w:val="20"/>
        </w:rPr>
        <w:t xml:space="preserve"> (communément appelé NEET)</w:t>
      </w:r>
      <w:r w:rsidRPr="006973B5">
        <w:rPr>
          <w:rFonts w:ascii="Times New Roman" w:hAnsi="Times New Roman" w:cs="Times New Roman"/>
          <w:bCs/>
          <w:iCs/>
          <w:sz w:val="24"/>
          <w:szCs w:val="20"/>
        </w:rPr>
        <w:t xml:space="preserve"> est très important, dans la mesure où il est composé des </w:t>
      </w:r>
      <w:r w:rsidRPr="006973B5">
        <w:rPr>
          <w:rFonts w:ascii="Times New Roman" w:hAnsi="Times New Roman" w:cs="Times New Roman"/>
          <w:sz w:val="24"/>
          <w:szCs w:val="20"/>
        </w:rPr>
        <w:t>jeunes qui sont au chômage ou inactifs. Il permet donc aux décideurs de prendre en compte des besoins de tous les jeunes qui ne sont plus dans le système éducation, ni en formation et devrait faire partie de la population active. L’indicateur NEET est un outil puissant pour analyser l’exclusion des jeunes en mettant l’accent sur tous les jeunes qui éprouvent des difficultés à faire la transition de l’école à la vie professionnelle.</w:t>
      </w:r>
    </w:p>
    <w:p w:rsidR="000B461A" w:rsidRPr="006973B5" w:rsidRDefault="000645AC" w:rsidP="00144C8F">
      <w:pPr>
        <w:jc w:val="both"/>
        <w:rPr>
          <w:rFonts w:ascii="Times New Roman" w:hAnsi="Times New Roman" w:cs="Times New Roman"/>
          <w:sz w:val="24"/>
          <w:szCs w:val="20"/>
        </w:rPr>
      </w:pPr>
      <w:r w:rsidRPr="006973B5">
        <w:rPr>
          <w:rFonts w:ascii="Times New Roman" w:hAnsi="Times New Roman" w:cs="Times New Roman"/>
          <w:sz w:val="24"/>
          <w:szCs w:val="20"/>
        </w:rPr>
        <w:t xml:space="preserve">En 2017, 28,5% des jeunes âgés de 15 à 24 </w:t>
      </w:r>
      <w:r w:rsidR="00176BCF" w:rsidRPr="006973B5">
        <w:rPr>
          <w:rFonts w:ascii="Times New Roman" w:hAnsi="Times New Roman" w:cs="Times New Roman"/>
          <w:sz w:val="24"/>
          <w:szCs w:val="20"/>
        </w:rPr>
        <w:t>ans n’étaient ni en emploi, ni en éducation, ni en formation</w:t>
      </w:r>
      <w:r w:rsidRPr="006973B5">
        <w:rPr>
          <w:rFonts w:ascii="Times New Roman" w:hAnsi="Times New Roman" w:cs="Times New Roman"/>
          <w:sz w:val="24"/>
          <w:szCs w:val="20"/>
        </w:rPr>
        <w:t xml:space="preserve">.  </w:t>
      </w:r>
      <w:r w:rsidR="00176BCF" w:rsidRPr="006973B5">
        <w:rPr>
          <w:rFonts w:ascii="Times New Roman" w:hAnsi="Times New Roman" w:cs="Times New Roman"/>
          <w:sz w:val="24"/>
          <w:szCs w:val="20"/>
        </w:rPr>
        <w:t>Parmi ces jeunes, 55,9% avaient le niveau d’</w:t>
      </w:r>
      <w:r w:rsidR="005F0F7C" w:rsidRPr="006973B5">
        <w:rPr>
          <w:rFonts w:ascii="Times New Roman" w:hAnsi="Times New Roman" w:cs="Times New Roman"/>
          <w:sz w:val="24"/>
          <w:szCs w:val="20"/>
        </w:rPr>
        <w:t xml:space="preserve">éducation supérieur et 20,1% le niveau fondamental. </w:t>
      </w:r>
      <w:r w:rsidR="00FE1166" w:rsidRPr="006973B5">
        <w:rPr>
          <w:rFonts w:ascii="Times New Roman" w:hAnsi="Times New Roman" w:cs="Times New Roman"/>
          <w:sz w:val="24"/>
          <w:szCs w:val="20"/>
        </w:rPr>
        <w:t xml:space="preserve">Les femmes sont plus touchées que les hommes (38,2 % contre 17,2%). Au niveau régional, les régions de Koulikoro et de Gao sont les plus </w:t>
      </w:r>
      <w:r w:rsidR="0049240F" w:rsidRPr="006973B5">
        <w:rPr>
          <w:rFonts w:ascii="Times New Roman" w:hAnsi="Times New Roman" w:cs="Times New Roman"/>
          <w:sz w:val="24"/>
          <w:szCs w:val="20"/>
        </w:rPr>
        <w:t>touchées, avec respectivement 56,3% et 56,0% des jeunes ni en emploi, ni en éducation, ni en formation. Ces deux régions sont de celle de Mopti avec 33,1% des jeunes.</w:t>
      </w:r>
      <w:r w:rsidR="00FE1166" w:rsidRPr="006973B5">
        <w:rPr>
          <w:rFonts w:ascii="Times New Roman" w:hAnsi="Times New Roman" w:cs="Times New Roman"/>
          <w:sz w:val="24"/>
          <w:szCs w:val="20"/>
        </w:rPr>
        <w:t xml:space="preserve"> </w:t>
      </w:r>
      <w:r w:rsidR="0049240F" w:rsidRPr="006973B5">
        <w:rPr>
          <w:rFonts w:ascii="Times New Roman" w:hAnsi="Times New Roman" w:cs="Times New Roman"/>
          <w:sz w:val="24"/>
          <w:szCs w:val="20"/>
        </w:rPr>
        <w:t xml:space="preserve">Les régions de Sikasso et celle de Kayes sont moins concernées par le problème avec respectivement 11,0% et 17,4%. La région de Ségou vient en troisième position (19,1%). La proportion des NEET en milieu rural est légèrement supérieure à celle du milieu urbain (Bamako et autres milieu urbain). </w:t>
      </w:r>
      <w:r w:rsidR="00425570" w:rsidRPr="006973B5">
        <w:rPr>
          <w:rFonts w:ascii="Times New Roman" w:hAnsi="Times New Roman" w:cs="Times New Roman"/>
          <w:sz w:val="24"/>
          <w:szCs w:val="20"/>
        </w:rPr>
        <w:t xml:space="preserve">Il faut rappeler que les régions de Sikasso et Ségou sont par </w:t>
      </w:r>
      <w:r w:rsidR="007B1E2F" w:rsidRPr="006973B5">
        <w:rPr>
          <w:rFonts w:ascii="Times New Roman" w:hAnsi="Times New Roman" w:cs="Times New Roman"/>
          <w:sz w:val="24"/>
          <w:szCs w:val="20"/>
        </w:rPr>
        <w:t>excellence d</w:t>
      </w:r>
      <w:r w:rsidR="00425570" w:rsidRPr="006973B5">
        <w:rPr>
          <w:rFonts w:ascii="Times New Roman" w:hAnsi="Times New Roman" w:cs="Times New Roman"/>
          <w:sz w:val="24"/>
          <w:szCs w:val="20"/>
        </w:rPr>
        <w:t>es zones de production céréalière du Pays, or comme nous l’avons mentionné plus haut, 70,3% des jeunes en emplois évolues dans secteur agricole.</w:t>
      </w:r>
      <w:r w:rsidR="007B1E2F" w:rsidRPr="006973B5">
        <w:rPr>
          <w:rFonts w:ascii="Times New Roman" w:hAnsi="Times New Roman" w:cs="Times New Roman"/>
          <w:sz w:val="24"/>
          <w:szCs w:val="20"/>
        </w:rPr>
        <w:t xml:space="preserve"> Ceci pourrait expliquer la faible proportion des NEET dans ces localités. </w:t>
      </w:r>
    </w:p>
    <w:p w:rsidR="00E42400" w:rsidRPr="006973B5" w:rsidRDefault="00E42400" w:rsidP="00E42400">
      <w:pPr>
        <w:spacing w:after="0"/>
        <w:rPr>
          <w:rFonts w:ascii="Times New Roman" w:hAnsi="Times New Roman" w:cs="Times New Roman"/>
          <w:bCs/>
          <w:i/>
          <w:iCs/>
          <w:sz w:val="20"/>
          <w:szCs w:val="20"/>
        </w:rPr>
      </w:pPr>
      <w:bookmarkStart w:id="40" w:name="_Toc511310945"/>
      <w:bookmarkStart w:id="41" w:name="_Toc516676461"/>
      <w:r w:rsidRPr="006973B5">
        <w:rPr>
          <w:rFonts w:ascii="Times New Roman" w:hAnsi="Times New Roman" w:cs="Times New Roman"/>
          <w:bCs/>
          <w:i/>
          <w:iCs/>
          <w:sz w:val="20"/>
          <w:szCs w:val="20"/>
        </w:rPr>
        <w:t xml:space="preserve">Tableau </w:t>
      </w:r>
      <w:r w:rsidR="00211B05" w:rsidRPr="006973B5">
        <w:rPr>
          <w:rFonts w:ascii="Times New Roman" w:hAnsi="Times New Roman" w:cs="Times New Roman"/>
          <w:bCs/>
          <w:i/>
          <w:iCs/>
          <w:sz w:val="20"/>
          <w:szCs w:val="20"/>
        </w:rPr>
        <w:fldChar w:fldCharType="begin"/>
      </w:r>
      <w:r w:rsidR="00211B05" w:rsidRPr="006973B5">
        <w:rPr>
          <w:rFonts w:ascii="Times New Roman" w:hAnsi="Times New Roman" w:cs="Times New Roman"/>
          <w:bCs/>
          <w:i/>
          <w:iCs/>
          <w:sz w:val="20"/>
          <w:szCs w:val="20"/>
        </w:rPr>
        <w:instrText xml:space="preserve"> SEQ Tableau \* ARABIC </w:instrText>
      </w:r>
      <w:r w:rsidR="00211B05" w:rsidRPr="006973B5">
        <w:rPr>
          <w:rFonts w:ascii="Times New Roman" w:hAnsi="Times New Roman" w:cs="Times New Roman"/>
          <w:bCs/>
          <w:i/>
          <w:iCs/>
          <w:sz w:val="20"/>
          <w:szCs w:val="20"/>
        </w:rPr>
        <w:fldChar w:fldCharType="separate"/>
      </w:r>
      <w:r w:rsidR="00211B05" w:rsidRPr="006973B5">
        <w:rPr>
          <w:rFonts w:ascii="Times New Roman" w:hAnsi="Times New Roman" w:cs="Times New Roman"/>
          <w:bCs/>
          <w:i/>
          <w:iCs/>
          <w:noProof/>
          <w:sz w:val="20"/>
          <w:szCs w:val="20"/>
        </w:rPr>
        <w:t>9</w:t>
      </w:r>
      <w:r w:rsidR="00211B05" w:rsidRPr="006973B5">
        <w:rPr>
          <w:rFonts w:ascii="Times New Roman" w:hAnsi="Times New Roman" w:cs="Times New Roman"/>
          <w:bCs/>
          <w:i/>
          <w:iCs/>
          <w:sz w:val="20"/>
          <w:szCs w:val="20"/>
        </w:rPr>
        <w:fldChar w:fldCharType="end"/>
      </w:r>
      <w:r w:rsidRPr="006973B5">
        <w:rPr>
          <w:rFonts w:ascii="Times New Roman" w:hAnsi="Times New Roman" w:cs="Times New Roman"/>
          <w:bCs/>
          <w:i/>
          <w:iCs/>
          <w:sz w:val="20"/>
          <w:szCs w:val="20"/>
        </w:rPr>
        <w:t>. Proportion des Jeunes de (15-24 ans) « ni en emploi, ni en éducation, ni en formation », (année 2017)</w:t>
      </w:r>
      <w:bookmarkEnd w:id="40"/>
      <w:bookmarkEnd w:id="41"/>
    </w:p>
    <w:tbl>
      <w:tblPr>
        <w:tblStyle w:val="Style1"/>
        <w:tblW w:w="9860" w:type="dxa"/>
        <w:tblLayout w:type="fixed"/>
        <w:tblLook w:val="04A0" w:firstRow="1" w:lastRow="0" w:firstColumn="1" w:lastColumn="0" w:noHBand="0" w:noVBand="1"/>
      </w:tblPr>
      <w:tblGrid>
        <w:gridCol w:w="3243"/>
        <w:gridCol w:w="2644"/>
        <w:gridCol w:w="1431"/>
        <w:gridCol w:w="1324"/>
        <w:gridCol w:w="1218"/>
      </w:tblGrid>
      <w:tr w:rsidR="00E42400" w:rsidRPr="006973B5" w:rsidTr="009C7139">
        <w:trPr>
          <w:cnfStyle w:val="100000000000" w:firstRow="1" w:lastRow="0" w:firstColumn="0" w:lastColumn="0" w:oddVBand="0" w:evenVBand="0" w:oddHBand="0" w:evenHBand="0" w:firstRowFirstColumn="0" w:firstRowLastColumn="0" w:lastRowFirstColumn="0" w:lastRowLastColumn="0"/>
          <w:trHeight w:val="256"/>
        </w:trPr>
        <w:tc>
          <w:tcPr>
            <w:tcW w:w="5887" w:type="dxa"/>
            <w:gridSpan w:val="2"/>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 </w:t>
            </w:r>
          </w:p>
        </w:tc>
        <w:tc>
          <w:tcPr>
            <w:tcW w:w="3973" w:type="dxa"/>
            <w:gridSpan w:val="3"/>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Proportion des Jeunes de (15-24 ans) NEET</w:t>
            </w:r>
          </w:p>
        </w:tc>
      </w:tr>
      <w:tr w:rsidR="00E42400" w:rsidRPr="006973B5" w:rsidTr="009C7139">
        <w:trPr>
          <w:trHeight w:val="256"/>
        </w:trPr>
        <w:tc>
          <w:tcPr>
            <w:tcW w:w="5887" w:type="dxa"/>
            <w:gridSpan w:val="2"/>
            <w:vMerge/>
            <w:tcBorders>
              <w:bottom w:val="single" w:sz="4" w:space="0" w:color="70AD47" w:themeColor="accent6"/>
            </w:tcBorders>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431" w:type="dxa"/>
            <w:tcBorders>
              <w:bottom w:val="single" w:sz="4" w:space="0" w:color="70AD47" w:themeColor="accent6"/>
            </w:tcBorders>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Homme</w:t>
            </w:r>
          </w:p>
        </w:tc>
        <w:tc>
          <w:tcPr>
            <w:tcW w:w="1324" w:type="dxa"/>
            <w:tcBorders>
              <w:bottom w:val="single" w:sz="4" w:space="0" w:color="70AD47" w:themeColor="accent6"/>
            </w:tcBorders>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Femme</w:t>
            </w:r>
          </w:p>
        </w:tc>
        <w:tc>
          <w:tcPr>
            <w:tcW w:w="1218" w:type="dxa"/>
            <w:tcBorders>
              <w:bottom w:val="single" w:sz="4" w:space="0" w:color="70AD47" w:themeColor="accent6"/>
            </w:tcBorders>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Total</w:t>
            </w:r>
          </w:p>
        </w:tc>
      </w:tr>
      <w:tr w:rsidR="00E42400" w:rsidRPr="006973B5" w:rsidTr="009C7139">
        <w:trPr>
          <w:trHeight w:val="256"/>
        </w:trPr>
        <w:tc>
          <w:tcPr>
            <w:tcW w:w="3243" w:type="dxa"/>
            <w:vMerge w:val="restart"/>
            <w:tcBorders>
              <w:top w:val="single" w:sz="4" w:space="0" w:color="70AD47" w:themeColor="accent6"/>
              <w:bottom w:val="nil"/>
            </w:tcBorders>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Zone de résidence</w:t>
            </w:r>
          </w:p>
        </w:tc>
        <w:tc>
          <w:tcPr>
            <w:tcW w:w="2644" w:type="dxa"/>
            <w:tcBorders>
              <w:top w:val="single" w:sz="4" w:space="0" w:color="70AD47" w:themeColor="accent6"/>
              <w:bottom w:val="nil"/>
            </w:tcBorders>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Bamako</w:t>
            </w:r>
          </w:p>
        </w:tc>
        <w:tc>
          <w:tcPr>
            <w:tcW w:w="1431" w:type="dxa"/>
            <w:tcBorders>
              <w:top w:val="single" w:sz="4" w:space="0" w:color="70AD47" w:themeColor="accent6"/>
              <w:bottom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9,6</w:t>
            </w:r>
          </w:p>
        </w:tc>
        <w:tc>
          <w:tcPr>
            <w:tcW w:w="1324" w:type="dxa"/>
            <w:tcBorders>
              <w:top w:val="single" w:sz="4" w:space="0" w:color="70AD47" w:themeColor="accent6"/>
              <w:bottom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35,3</w:t>
            </w:r>
          </w:p>
        </w:tc>
        <w:tc>
          <w:tcPr>
            <w:tcW w:w="1218" w:type="dxa"/>
            <w:tcBorders>
              <w:top w:val="single" w:sz="4" w:space="0" w:color="70AD47" w:themeColor="accent6"/>
              <w:bottom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24,8</w:t>
            </w:r>
          </w:p>
        </w:tc>
      </w:tr>
      <w:tr w:rsidR="00E42400" w:rsidRPr="006973B5" w:rsidTr="009C7139">
        <w:trPr>
          <w:trHeight w:val="256"/>
        </w:trPr>
        <w:tc>
          <w:tcPr>
            <w:tcW w:w="3243" w:type="dxa"/>
            <w:vMerge/>
            <w:tcBorders>
              <w:top w:val="nil"/>
            </w:tcBorders>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644" w:type="dxa"/>
            <w:tcBorders>
              <w:top w:val="nil"/>
            </w:tcBorders>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Autre urbain</w:t>
            </w:r>
          </w:p>
        </w:tc>
        <w:tc>
          <w:tcPr>
            <w:tcW w:w="1431" w:type="dxa"/>
            <w:tcBorders>
              <w:top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16,0</w:t>
            </w:r>
          </w:p>
        </w:tc>
        <w:tc>
          <w:tcPr>
            <w:tcW w:w="1324" w:type="dxa"/>
            <w:tcBorders>
              <w:top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38,4</w:t>
            </w:r>
          </w:p>
        </w:tc>
        <w:tc>
          <w:tcPr>
            <w:tcW w:w="1218" w:type="dxa"/>
            <w:tcBorders>
              <w:top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28,2</w:t>
            </w:r>
          </w:p>
        </w:tc>
      </w:tr>
      <w:tr w:rsidR="00E42400" w:rsidRPr="006973B5" w:rsidTr="009C7139">
        <w:trPr>
          <w:trHeight w:val="256"/>
        </w:trPr>
        <w:tc>
          <w:tcPr>
            <w:tcW w:w="3243"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644"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Rural</w:t>
            </w:r>
          </w:p>
        </w:tc>
        <w:tc>
          <w:tcPr>
            <w:tcW w:w="143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19,0</w:t>
            </w:r>
          </w:p>
        </w:tc>
        <w:tc>
          <w:tcPr>
            <w:tcW w:w="132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38,8</w:t>
            </w:r>
          </w:p>
        </w:tc>
        <w:tc>
          <w:tcPr>
            <w:tcW w:w="1218"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29,5</w:t>
            </w:r>
          </w:p>
        </w:tc>
      </w:tr>
      <w:tr w:rsidR="00E42400" w:rsidRPr="006973B5" w:rsidTr="009C7139">
        <w:trPr>
          <w:trHeight w:val="256"/>
        </w:trPr>
        <w:tc>
          <w:tcPr>
            <w:tcW w:w="3243"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Région</w:t>
            </w:r>
          </w:p>
        </w:tc>
        <w:tc>
          <w:tcPr>
            <w:tcW w:w="2644"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Kayes</w:t>
            </w:r>
          </w:p>
        </w:tc>
        <w:tc>
          <w:tcPr>
            <w:tcW w:w="143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10,5</w:t>
            </w:r>
          </w:p>
        </w:tc>
        <w:tc>
          <w:tcPr>
            <w:tcW w:w="132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23,2</w:t>
            </w:r>
          </w:p>
        </w:tc>
        <w:tc>
          <w:tcPr>
            <w:tcW w:w="1218"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17,4</w:t>
            </w:r>
          </w:p>
        </w:tc>
      </w:tr>
      <w:tr w:rsidR="00E42400" w:rsidRPr="006973B5" w:rsidTr="009C7139">
        <w:trPr>
          <w:trHeight w:val="256"/>
        </w:trPr>
        <w:tc>
          <w:tcPr>
            <w:tcW w:w="3243"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644"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Koulikoro</w:t>
            </w:r>
          </w:p>
        </w:tc>
        <w:tc>
          <w:tcPr>
            <w:tcW w:w="143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43,5</w:t>
            </w:r>
          </w:p>
        </w:tc>
        <w:tc>
          <w:tcPr>
            <w:tcW w:w="132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68,1</w:t>
            </w:r>
          </w:p>
        </w:tc>
        <w:tc>
          <w:tcPr>
            <w:tcW w:w="1218"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56,3</w:t>
            </w:r>
          </w:p>
        </w:tc>
      </w:tr>
      <w:tr w:rsidR="00E42400" w:rsidRPr="006973B5" w:rsidTr="009C7139">
        <w:trPr>
          <w:trHeight w:val="256"/>
        </w:trPr>
        <w:tc>
          <w:tcPr>
            <w:tcW w:w="3243"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644"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Sikasso</w:t>
            </w:r>
          </w:p>
        </w:tc>
        <w:tc>
          <w:tcPr>
            <w:tcW w:w="143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7,4</w:t>
            </w:r>
          </w:p>
        </w:tc>
        <w:tc>
          <w:tcPr>
            <w:tcW w:w="132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14,3</w:t>
            </w:r>
          </w:p>
        </w:tc>
        <w:tc>
          <w:tcPr>
            <w:tcW w:w="1218"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11,0</w:t>
            </w:r>
          </w:p>
        </w:tc>
      </w:tr>
      <w:tr w:rsidR="00E42400" w:rsidRPr="006973B5" w:rsidTr="009C7139">
        <w:trPr>
          <w:trHeight w:val="256"/>
        </w:trPr>
        <w:tc>
          <w:tcPr>
            <w:tcW w:w="3243"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644"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Ségou</w:t>
            </w:r>
          </w:p>
        </w:tc>
        <w:tc>
          <w:tcPr>
            <w:tcW w:w="143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5,7</w:t>
            </w:r>
          </w:p>
        </w:tc>
        <w:tc>
          <w:tcPr>
            <w:tcW w:w="132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33,3</w:t>
            </w:r>
          </w:p>
        </w:tc>
        <w:tc>
          <w:tcPr>
            <w:tcW w:w="1218"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19,1</w:t>
            </w:r>
          </w:p>
        </w:tc>
      </w:tr>
      <w:tr w:rsidR="00E42400" w:rsidRPr="006973B5" w:rsidTr="009C7139">
        <w:trPr>
          <w:trHeight w:val="256"/>
        </w:trPr>
        <w:tc>
          <w:tcPr>
            <w:tcW w:w="3243"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644"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Mopti</w:t>
            </w:r>
          </w:p>
        </w:tc>
        <w:tc>
          <w:tcPr>
            <w:tcW w:w="143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17,1</w:t>
            </w:r>
          </w:p>
        </w:tc>
        <w:tc>
          <w:tcPr>
            <w:tcW w:w="132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45,0</w:t>
            </w:r>
          </w:p>
        </w:tc>
        <w:tc>
          <w:tcPr>
            <w:tcW w:w="1218"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33,1</w:t>
            </w:r>
          </w:p>
        </w:tc>
      </w:tr>
      <w:tr w:rsidR="00E42400" w:rsidRPr="006973B5" w:rsidTr="009C7139">
        <w:trPr>
          <w:trHeight w:val="256"/>
        </w:trPr>
        <w:tc>
          <w:tcPr>
            <w:tcW w:w="3243"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644"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Tombouctou</w:t>
            </w:r>
          </w:p>
        </w:tc>
        <w:tc>
          <w:tcPr>
            <w:tcW w:w="143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15,3</w:t>
            </w:r>
          </w:p>
        </w:tc>
        <w:tc>
          <w:tcPr>
            <w:tcW w:w="132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29,3</w:t>
            </w:r>
          </w:p>
        </w:tc>
        <w:tc>
          <w:tcPr>
            <w:tcW w:w="1218"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23,6</w:t>
            </w:r>
          </w:p>
        </w:tc>
      </w:tr>
      <w:tr w:rsidR="00E42400" w:rsidRPr="006973B5" w:rsidTr="009C7139">
        <w:trPr>
          <w:trHeight w:val="256"/>
        </w:trPr>
        <w:tc>
          <w:tcPr>
            <w:tcW w:w="3243"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644"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Gao</w:t>
            </w:r>
          </w:p>
        </w:tc>
        <w:tc>
          <w:tcPr>
            <w:tcW w:w="143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31,8</w:t>
            </w:r>
          </w:p>
        </w:tc>
        <w:tc>
          <w:tcPr>
            <w:tcW w:w="132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72,2</w:t>
            </w:r>
          </w:p>
        </w:tc>
        <w:tc>
          <w:tcPr>
            <w:tcW w:w="1218"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56,0</w:t>
            </w:r>
          </w:p>
        </w:tc>
      </w:tr>
      <w:tr w:rsidR="00E42400" w:rsidRPr="006973B5" w:rsidTr="009C7139">
        <w:trPr>
          <w:trHeight w:val="256"/>
        </w:trPr>
        <w:tc>
          <w:tcPr>
            <w:tcW w:w="3243"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644"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Bamako</w:t>
            </w:r>
          </w:p>
        </w:tc>
        <w:tc>
          <w:tcPr>
            <w:tcW w:w="143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9,6</w:t>
            </w:r>
          </w:p>
        </w:tc>
        <w:tc>
          <w:tcPr>
            <w:tcW w:w="132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35,3</w:t>
            </w:r>
          </w:p>
        </w:tc>
        <w:tc>
          <w:tcPr>
            <w:tcW w:w="1218"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24,8</w:t>
            </w:r>
          </w:p>
        </w:tc>
      </w:tr>
      <w:tr w:rsidR="00E42400" w:rsidRPr="006973B5" w:rsidTr="009C7139">
        <w:trPr>
          <w:trHeight w:val="256"/>
        </w:trPr>
        <w:tc>
          <w:tcPr>
            <w:tcW w:w="3243"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Statut de pauvreté</w:t>
            </w:r>
          </w:p>
        </w:tc>
        <w:tc>
          <w:tcPr>
            <w:tcW w:w="2644"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Non pauvres</w:t>
            </w:r>
          </w:p>
        </w:tc>
        <w:tc>
          <w:tcPr>
            <w:tcW w:w="1431"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324"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218"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r>
      <w:tr w:rsidR="00E42400" w:rsidRPr="006973B5" w:rsidTr="009C7139">
        <w:trPr>
          <w:trHeight w:val="256"/>
        </w:trPr>
        <w:tc>
          <w:tcPr>
            <w:tcW w:w="3243"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644"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Pauvres</w:t>
            </w:r>
          </w:p>
        </w:tc>
        <w:tc>
          <w:tcPr>
            <w:tcW w:w="1431"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324"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218"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r>
      <w:tr w:rsidR="00E42400" w:rsidRPr="006973B5" w:rsidTr="009C7139">
        <w:trPr>
          <w:trHeight w:val="256"/>
        </w:trPr>
        <w:tc>
          <w:tcPr>
            <w:tcW w:w="3243"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Niveau d'éducation</w:t>
            </w:r>
          </w:p>
        </w:tc>
        <w:tc>
          <w:tcPr>
            <w:tcW w:w="2644"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Aucun</w:t>
            </w:r>
          </w:p>
        </w:tc>
        <w:tc>
          <w:tcPr>
            <w:tcW w:w="143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24,4</w:t>
            </w:r>
          </w:p>
        </w:tc>
        <w:tc>
          <w:tcPr>
            <w:tcW w:w="132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44,9</w:t>
            </w:r>
          </w:p>
        </w:tc>
        <w:tc>
          <w:tcPr>
            <w:tcW w:w="1218"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37,1</w:t>
            </w:r>
          </w:p>
        </w:tc>
      </w:tr>
      <w:tr w:rsidR="00E42400" w:rsidRPr="006973B5" w:rsidTr="009C7139">
        <w:trPr>
          <w:trHeight w:val="256"/>
        </w:trPr>
        <w:tc>
          <w:tcPr>
            <w:tcW w:w="3243"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644"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Fondamental</w:t>
            </w:r>
          </w:p>
        </w:tc>
        <w:tc>
          <w:tcPr>
            <w:tcW w:w="143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12,0</w:t>
            </w:r>
          </w:p>
        </w:tc>
        <w:tc>
          <w:tcPr>
            <w:tcW w:w="132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29,0</w:t>
            </w:r>
          </w:p>
        </w:tc>
        <w:tc>
          <w:tcPr>
            <w:tcW w:w="1218"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20,1</w:t>
            </w:r>
          </w:p>
        </w:tc>
      </w:tr>
      <w:tr w:rsidR="00E42400" w:rsidRPr="006973B5" w:rsidTr="009C7139">
        <w:trPr>
          <w:trHeight w:val="256"/>
        </w:trPr>
        <w:tc>
          <w:tcPr>
            <w:tcW w:w="3243"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644"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Secondaire</w:t>
            </w:r>
          </w:p>
        </w:tc>
        <w:tc>
          <w:tcPr>
            <w:tcW w:w="143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19,3</w:t>
            </w:r>
          </w:p>
        </w:tc>
        <w:tc>
          <w:tcPr>
            <w:tcW w:w="132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44,8</w:t>
            </w:r>
          </w:p>
        </w:tc>
        <w:tc>
          <w:tcPr>
            <w:tcW w:w="1218"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29,5</w:t>
            </w:r>
          </w:p>
        </w:tc>
      </w:tr>
      <w:tr w:rsidR="00E42400" w:rsidRPr="006973B5" w:rsidTr="009C7139">
        <w:trPr>
          <w:trHeight w:val="256"/>
        </w:trPr>
        <w:tc>
          <w:tcPr>
            <w:tcW w:w="3243"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644"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Supérieur</w:t>
            </w:r>
          </w:p>
        </w:tc>
        <w:tc>
          <w:tcPr>
            <w:tcW w:w="143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34,4</w:t>
            </w:r>
          </w:p>
        </w:tc>
        <w:tc>
          <w:tcPr>
            <w:tcW w:w="132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95,8</w:t>
            </w:r>
          </w:p>
        </w:tc>
        <w:tc>
          <w:tcPr>
            <w:tcW w:w="1218"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55,9</w:t>
            </w:r>
          </w:p>
        </w:tc>
      </w:tr>
      <w:tr w:rsidR="00E42400" w:rsidRPr="006973B5" w:rsidTr="009C7139">
        <w:trPr>
          <w:trHeight w:val="256"/>
        </w:trPr>
        <w:tc>
          <w:tcPr>
            <w:tcW w:w="3243"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644"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Total</w:t>
            </w:r>
          </w:p>
        </w:tc>
        <w:tc>
          <w:tcPr>
            <w:tcW w:w="143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17,2</w:t>
            </w:r>
          </w:p>
        </w:tc>
        <w:tc>
          <w:tcPr>
            <w:tcW w:w="132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38,2</w:t>
            </w:r>
          </w:p>
        </w:tc>
        <w:tc>
          <w:tcPr>
            <w:tcW w:w="1218"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28,5</w:t>
            </w:r>
          </w:p>
        </w:tc>
      </w:tr>
    </w:tbl>
    <w:p w:rsidR="00E42400" w:rsidRPr="00AD4D0A" w:rsidRDefault="00E42400" w:rsidP="00E42400">
      <w:pPr>
        <w:spacing w:after="0"/>
        <w:rPr>
          <w:rFonts w:ascii="Times New Roman" w:hAnsi="Times New Roman" w:cs="Times New Roman"/>
          <w:sz w:val="20"/>
          <w:szCs w:val="20"/>
        </w:rPr>
      </w:pPr>
      <w:r w:rsidRPr="006973B5">
        <w:rPr>
          <w:rFonts w:ascii="Times New Roman" w:hAnsi="Times New Roman" w:cs="Times New Roman"/>
          <w:sz w:val="20"/>
          <w:szCs w:val="20"/>
          <w:u w:val="single"/>
        </w:rPr>
        <w:t>Source :</w:t>
      </w:r>
      <w:r w:rsidRPr="006973B5">
        <w:rPr>
          <w:rFonts w:ascii="Times New Roman" w:hAnsi="Times New Roman" w:cs="Times New Roman"/>
          <w:sz w:val="20"/>
          <w:szCs w:val="20"/>
        </w:rPr>
        <w:t xml:space="preserve"> ONEF, à partir des données</w:t>
      </w:r>
      <w:r w:rsidRPr="006973B5">
        <w:rPr>
          <w:rFonts w:ascii="Times New Roman" w:hAnsi="Times New Roman" w:cs="Times New Roman"/>
          <w:i/>
          <w:sz w:val="20"/>
          <w:szCs w:val="20"/>
          <w:lang w:val="en-GB"/>
        </w:rPr>
        <w:t xml:space="preserve"> EMOP-2017</w:t>
      </w:r>
    </w:p>
    <w:p w:rsidR="00DC1258" w:rsidRPr="006973B5" w:rsidRDefault="00DC1258" w:rsidP="00937EDF">
      <w:pPr>
        <w:pStyle w:val="Titre2"/>
        <w:numPr>
          <w:ilvl w:val="1"/>
          <w:numId w:val="14"/>
        </w:numPr>
        <w:rPr>
          <w:rFonts w:ascii="Times New Roman" w:hAnsi="Times New Roman" w:cs="Times New Roman"/>
          <w:b/>
          <w:color w:val="auto"/>
        </w:rPr>
      </w:pPr>
      <w:bookmarkStart w:id="42" w:name="_Toc516676421"/>
      <w:r w:rsidRPr="006973B5">
        <w:rPr>
          <w:rFonts w:ascii="Times New Roman" w:hAnsi="Times New Roman" w:cs="Times New Roman"/>
          <w:b/>
          <w:color w:val="auto"/>
        </w:rPr>
        <w:lastRenderedPageBreak/>
        <w:t xml:space="preserve">Stratégies </w:t>
      </w:r>
      <w:r w:rsidR="00701441" w:rsidRPr="006973B5">
        <w:rPr>
          <w:rFonts w:ascii="Times New Roman" w:hAnsi="Times New Roman" w:cs="Times New Roman"/>
          <w:b/>
          <w:color w:val="auto"/>
        </w:rPr>
        <w:t xml:space="preserve">de recherche d’emploi </w:t>
      </w:r>
      <w:r w:rsidR="005D7BFF" w:rsidRPr="006973B5">
        <w:rPr>
          <w:rFonts w:ascii="Times New Roman" w:hAnsi="Times New Roman" w:cs="Times New Roman"/>
          <w:b/>
          <w:color w:val="auto"/>
        </w:rPr>
        <w:t xml:space="preserve">des </w:t>
      </w:r>
      <w:r w:rsidR="009020FF" w:rsidRPr="006973B5">
        <w:rPr>
          <w:rFonts w:ascii="Times New Roman" w:hAnsi="Times New Roman" w:cs="Times New Roman"/>
          <w:b/>
          <w:color w:val="auto"/>
        </w:rPr>
        <w:t>jeunes chômeurs</w:t>
      </w:r>
      <w:bookmarkEnd w:id="42"/>
      <w:r w:rsidRPr="006973B5">
        <w:rPr>
          <w:rFonts w:ascii="Times New Roman" w:hAnsi="Times New Roman" w:cs="Times New Roman"/>
          <w:b/>
          <w:color w:val="auto"/>
        </w:rPr>
        <w:t xml:space="preserve"> </w:t>
      </w:r>
    </w:p>
    <w:p w:rsidR="00B62A99" w:rsidRPr="006973B5" w:rsidRDefault="00B62A99" w:rsidP="00B62A99">
      <w:pPr>
        <w:rPr>
          <w:sz w:val="10"/>
        </w:rPr>
      </w:pPr>
    </w:p>
    <w:p w:rsidR="001A7AFA" w:rsidRPr="006973B5" w:rsidRDefault="001A7AFA" w:rsidP="00937EDF">
      <w:pPr>
        <w:pStyle w:val="Paragraphedeliste"/>
        <w:numPr>
          <w:ilvl w:val="2"/>
          <w:numId w:val="14"/>
        </w:numPr>
        <w:rPr>
          <w:rFonts w:ascii="Times New Roman" w:hAnsi="Times New Roman" w:cs="Times New Roman"/>
        </w:rPr>
      </w:pPr>
      <w:r w:rsidRPr="006973B5">
        <w:rPr>
          <w:rFonts w:ascii="Times New Roman" w:hAnsi="Times New Roman" w:cs="Times New Roman"/>
        </w:rPr>
        <w:t>Moyen principal de recherche d’emploi et type d’emploi recherché par les jeunes</w:t>
      </w:r>
    </w:p>
    <w:p w:rsidR="00A158F8" w:rsidRPr="006973B5" w:rsidRDefault="001B21C8" w:rsidP="00A158F8">
      <w:pPr>
        <w:spacing w:line="276" w:lineRule="auto"/>
        <w:jc w:val="both"/>
        <w:rPr>
          <w:rFonts w:ascii="Times New Roman" w:hAnsi="Times New Roman" w:cs="Times New Roman"/>
          <w:sz w:val="24"/>
        </w:rPr>
      </w:pPr>
      <w:r w:rsidRPr="006973B5">
        <w:rPr>
          <w:rFonts w:ascii="Times New Roman" w:hAnsi="Times New Roman" w:cs="Times New Roman"/>
          <w:sz w:val="24"/>
        </w:rPr>
        <w:t xml:space="preserve">A l’analyse du tableau ci-dessous, nous constatons que 92,5% des jeunes chômeurs cherchent à s’insérer à travers les relations personnelles. </w:t>
      </w:r>
      <w:r w:rsidR="003F6D82" w:rsidRPr="006973B5">
        <w:rPr>
          <w:rFonts w:ascii="Times New Roman" w:hAnsi="Times New Roman" w:cs="Times New Roman"/>
          <w:sz w:val="24"/>
        </w:rPr>
        <w:t>Cette proportion demeure aussi élevée aussi bien chez le</w:t>
      </w:r>
      <w:r w:rsidR="00AD4D0A">
        <w:rPr>
          <w:rFonts w:ascii="Times New Roman" w:hAnsi="Times New Roman" w:cs="Times New Roman"/>
          <w:sz w:val="24"/>
        </w:rPr>
        <w:t>s</w:t>
      </w:r>
      <w:r w:rsidR="003F6D82" w:rsidRPr="006973B5">
        <w:rPr>
          <w:rFonts w:ascii="Times New Roman" w:hAnsi="Times New Roman" w:cs="Times New Roman"/>
          <w:sz w:val="24"/>
        </w:rPr>
        <w:t xml:space="preserve"> hommes (93,5%) que chez les femmes (91,5%). </w:t>
      </w:r>
      <w:r w:rsidR="00A158F8" w:rsidRPr="006973B5">
        <w:rPr>
          <w:rFonts w:ascii="Times New Roman" w:hAnsi="Times New Roman" w:cs="Times New Roman"/>
          <w:sz w:val="24"/>
        </w:rPr>
        <w:t xml:space="preserve">Si ce canal est utilisé par 96,9% et 95,2% des jeunes qui sont respectivement sans niveau d’éducation et primaire. Par contre les jeunes ayant le niveau d’éducation secondaire et supérieur préfèrent recourir aux annonces et concours comme moyen de rechercher un emploi.  </w:t>
      </w:r>
    </w:p>
    <w:p w:rsidR="00B62A99" w:rsidRPr="006973B5" w:rsidRDefault="00B62A99" w:rsidP="00B62A99">
      <w:pPr>
        <w:spacing w:after="0"/>
        <w:rPr>
          <w:rFonts w:ascii="Times New Roman" w:hAnsi="Times New Roman" w:cs="Times New Roman"/>
          <w:i/>
          <w:sz w:val="20"/>
        </w:rPr>
      </w:pPr>
      <w:bookmarkStart w:id="43" w:name="_Toc501526850"/>
      <w:bookmarkStart w:id="44" w:name="_Toc516676462"/>
      <w:r w:rsidRPr="006973B5">
        <w:rPr>
          <w:rFonts w:ascii="Times New Roman" w:hAnsi="Times New Roman" w:cs="Times New Roman"/>
          <w:bCs/>
          <w:i/>
          <w:iCs/>
          <w:sz w:val="20"/>
        </w:rPr>
        <w:t xml:space="preserve">Tableau </w:t>
      </w:r>
      <w:r w:rsidR="00211B05" w:rsidRPr="006973B5">
        <w:rPr>
          <w:rFonts w:ascii="Times New Roman" w:hAnsi="Times New Roman" w:cs="Times New Roman"/>
          <w:bCs/>
          <w:i/>
          <w:iCs/>
          <w:sz w:val="20"/>
        </w:rPr>
        <w:fldChar w:fldCharType="begin"/>
      </w:r>
      <w:r w:rsidR="00211B05" w:rsidRPr="006973B5">
        <w:rPr>
          <w:rFonts w:ascii="Times New Roman" w:hAnsi="Times New Roman" w:cs="Times New Roman"/>
          <w:bCs/>
          <w:i/>
          <w:iCs/>
          <w:sz w:val="20"/>
        </w:rPr>
        <w:instrText xml:space="preserve"> SEQ Tableau \* ARABIC </w:instrText>
      </w:r>
      <w:r w:rsidR="00211B05" w:rsidRPr="006973B5">
        <w:rPr>
          <w:rFonts w:ascii="Times New Roman" w:hAnsi="Times New Roman" w:cs="Times New Roman"/>
          <w:bCs/>
          <w:i/>
          <w:iCs/>
          <w:sz w:val="20"/>
        </w:rPr>
        <w:fldChar w:fldCharType="separate"/>
      </w:r>
      <w:r w:rsidR="00211B05" w:rsidRPr="006973B5">
        <w:rPr>
          <w:rFonts w:ascii="Times New Roman" w:hAnsi="Times New Roman" w:cs="Times New Roman"/>
          <w:bCs/>
          <w:i/>
          <w:iCs/>
          <w:noProof/>
          <w:sz w:val="20"/>
        </w:rPr>
        <w:t>10</w:t>
      </w:r>
      <w:r w:rsidR="00211B05" w:rsidRPr="006973B5">
        <w:rPr>
          <w:rFonts w:ascii="Times New Roman" w:hAnsi="Times New Roman" w:cs="Times New Roman"/>
          <w:bCs/>
          <w:i/>
          <w:iCs/>
          <w:sz w:val="20"/>
        </w:rPr>
        <w:fldChar w:fldCharType="end"/>
      </w:r>
      <w:r w:rsidRPr="006973B5">
        <w:rPr>
          <w:rFonts w:ascii="Times New Roman" w:hAnsi="Times New Roman" w:cs="Times New Roman"/>
          <w:bCs/>
          <w:i/>
          <w:iCs/>
          <w:sz w:val="20"/>
        </w:rPr>
        <w:t>. Répartition des chômeurs par principal moyen de recherche d’emploi (en %)</w:t>
      </w:r>
      <w:bookmarkEnd w:id="43"/>
      <w:bookmarkEnd w:id="44"/>
    </w:p>
    <w:tbl>
      <w:tblPr>
        <w:tblW w:w="10364" w:type="dxa"/>
        <w:tblLayout w:type="fixed"/>
        <w:tblCellMar>
          <w:left w:w="70" w:type="dxa"/>
          <w:right w:w="70" w:type="dxa"/>
        </w:tblCellMar>
        <w:tblLook w:val="04A0" w:firstRow="1" w:lastRow="0" w:firstColumn="1" w:lastColumn="0" w:noHBand="0" w:noVBand="1"/>
      </w:tblPr>
      <w:tblGrid>
        <w:gridCol w:w="1056"/>
        <w:gridCol w:w="1491"/>
        <w:gridCol w:w="998"/>
        <w:gridCol w:w="1039"/>
        <w:gridCol w:w="941"/>
        <w:gridCol w:w="774"/>
        <w:gridCol w:w="567"/>
        <w:gridCol w:w="992"/>
        <w:gridCol w:w="1058"/>
        <w:gridCol w:w="739"/>
        <w:gridCol w:w="709"/>
      </w:tblGrid>
      <w:tr w:rsidR="00B62A99" w:rsidRPr="006973B5" w:rsidTr="00B62A99">
        <w:trPr>
          <w:trHeight w:val="227"/>
        </w:trPr>
        <w:tc>
          <w:tcPr>
            <w:tcW w:w="25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 </w:t>
            </w:r>
          </w:p>
        </w:tc>
        <w:tc>
          <w:tcPr>
            <w:tcW w:w="7817" w:type="dxa"/>
            <w:gridSpan w:val="9"/>
            <w:tcBorders>
              <w:top w:val="single" w:sz="4" w:space="0" w:color="auto"/>
              <w:left w:val="nil"/>
              <w:bottom w:val="single" w:sz="4" w:space="0" w:color="auto"/>
              <w:right w:val="single" w:sz="4" w:space="0" w:color="auto"/>
            </w:tcBorders>
            <w:shd w:val="clear" w:color="auto" w:fill="auto"/>
            <w:vAlign w:val="bottom"/>
            <w:hideMark/>
          </w:tcPr>
          <w:p w:rsidR="00B62A99" w:rsidRPr="006973B5" w:rsidRDefault="00B62A99" w:rsidP="00B62A99">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Moyen principal de recherche d'emploi</w:t>
            </w:r>
          </w:p>
        </w:tc>
      </w:tr>
      <w:tr w:rsidR="00B62A99" w:rsidRPr="006973B5" w:rsidTr="00B62A99">
        <w:trPr>
          <w:trHeight w:val="227"/>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998" w:type="dxa"/>
            <w:tcBorders>
              <w:top w:val="nil"/>
              <w:left w:val="nil"/>
              <w:bottom w:val="single" w:sz="4" w:space="0" w:color="auto"/>
              <w:right w:val="single" w:sz="4" w:space="0" w:color="auto"/>
            </w:tcBorders>
            <w:shd w:val="clear" w:color="auto" w:fill="auto"/>
            <w:vAlign w:val="bottom"/>
            <w:hideMark/>
          </w:tcPr>
          <w:p w:rsidR="00B62A99" w:rsidRPr="006973B5" w:rsidRDefault="00B62A99" w:rsidP="00B62A99">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Relations</w:t>
            </w:r>
          </w:p>
        </w:tc>
        <w:tc>
          <w:tcPr>
            <w:tcW w:w="1039" w:type="dxa"/>
            <w:tcBorders>
              <w:top w:val="nil"/>
              <w:left w:val="nil"/>
              <w:bottom w:val="single" w:sz="4" w:space="0" w:color="auto"/>
              <w:right w:val="single" w:sz="4" w:space="0" w:color="auto"/>
            </w:tcBorders>
            <w:shd w:val="clear" w:color="auto" w:fill="auto"/>
            <w:vAlign w:val="bottom"/>
            <w:hideMark/>
          </w:tcPr>
          <w:p w:rsidR="00B62A99" w:rsidRPr="006973B5" w:rsidRDefault="00B62A99" w:rsidP="00B62A99">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Employeur</w:t>
            </w:r>
          </w:p>
        </w:tc>
        <w:tc>
          <w:tcPr>
            <w:tcW w:w="941" w:type="dxa"/>
            <w:tcBorders>
              <w:top w:val="nil"/>
              <w:left w:val="nil"/>
              <w:bottom w:val="single" w:sz="4" w:space="0" w:color="auto"/>
              <w:right w:val="single" w:sz="4" w:space="0" w:color="auto"/>
            </w:tcBorders>
            <w:shd w:val="clear" w:color="auto" w:fill="auto"/>
            <w:vAlign w:val="bottom"/>
            <w:hideMark/>
          </w:tcPr>
          <w:p w:rsidR="00B62A99" w:rsidRPr="006973B5" w:rsidRDefault="00B62A99" w:rsidP="00B62A99">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Annonces</w:t>
            </w:r>
          </w:p>
        </w:tc>
        <w:tc>
          <w:tcPr>
            <w:tcW w:w="774" w:type="dxa"/>
            <w:tcBorders>
              <w:top w:val="nil"/>
              <w:left w:val="nil"/>
              <w:bottom w:val="single" w:sz="4" w:space="0" w:color="auto"/>
              <w:right w:val="single" w:sz="4" w:space="0" w:color="auto"/>
            </w:tcBorders>
            <w:shd w:val="clear" w:color="auto" w:fill="auto"/>
            <w:vAlign w:val="bottom"/>
            <w:hideMark/>
          </w:tcPr>
          <w:p w:rsidR="00B62A99" w:rsidRPr="006973B5" w:rsidRDefault="00B62A99" w:rsidP="00B62A99">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ANPE</w:t>
            </w:r>
          </w:p>
        </w:tc>
        <w:tc>
          <w:tcPr>
            <w:tcW w:w="567" w:type="dxa"/>
            <w:tcBorders>
              <w:top w:val="nil"/>
              <w:left w:val="nil"/>
              <w:bottom w:val="single" w:sz="4" w:space="0" w:color="auto"/>
              <w:right w:val="single" w:sz="4" w:space="0" w:color="auto"/>
            </w:tcBorders>
            <w:shd w:val="clear" w:color="auto" w:fill="auto"/>
            <w:vAlign w:val="bottom"/>
            <w:hideMark/>
          </w:tcPr>
          <w:p w:rsidR="00B62A99" w:rsidRPr="006973B5" w:rsidRDefault="00B62A99" w:rsidP="00B62A99">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BPP</w:t>
            </w:r>
          </w:p>
        </w:tc>
        <w:tc>
          <w:tcPr>
            <w:tcW w:w="992" w:type="dxa"/>
            <w:tcBorders>
              <w:top w:val="nil"/>
              <w:left w:val="nil"/>
              <w:bottom w:val="single" w:sz="4" w:space="0" w:color="auto"/>
              <w:right w:val="single" w:sz="4" w:space="0" w:color="auto"/>
            </w:tcBorders>
            <w:shd w:val="clear" w:color="auto" w:fill="auto"/>
            <w:vAlign w:val="bottom"/>
            <w:hideMark/>
          </w:tcPr>
          <w:p w:rsidR="00B62A99" w:rsidRPr="006973B5" w:rsidRDefault="00B62A99" w:rsidP="00B62A99">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Concours</w:t>
            </w:r>
          </w:p>
        </w:tc>
        <w:tc>
          <w:tcPr>
            <w:tcW w:w="1058" w:type="dxa"/>
            <w:tcBorders>
              <w:top w:val="nil"/>
              <w:left w:val="nil"/>
              <w:bottom w:val="single" w:sz="4" w:space="0" w:color="auto"/>
              <w:right w:val="single" w:sz="4" w:space="0" w:color="auto"/>
            </w:tcBorders>
            <w:shd w:val="clear" w:color="auto" w:fill="auto"/>
            <w:vAlign w:val="bottom"/>
            <w:hideMark/>
          </w:tcPr>
          <w:p w:rsidR="00B62A99" w:rsidRPr="006973B5" w:rsidRDefault="00B62A99" w:rsidP="00B62A99">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Créer entreprise</w:t>
            </w:r>
          </w:p>
        </w:tc>
        <w:tc>
          <w:tcPr>
            <w:tcW w:w="739" w:type="dxa"/>
            <w:tcBorders>
              <w:top w:val="nil"/>
              <w:left w:val="nil"/>
              <w:bottom w:val="single" w:sz="4" w:space="0" w:color="auto"/>
              <w:right w:val="single" w:sz="4" w:space="0" w:color="auto"/>
            </w:tcBorders>
            <w:shd w:val="clear" w:color="auto" w:fill="auto"/>
            <w:vAlign w:val="bottom"/>
            <w:hideMark/>
          </w:tcPr>
          <w:p w:rsidR="00B62A99" w:rsidRPr="006973B5" w:rsidRDefault="00B62A99" w:rsidP="00B62A99">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Autre</w:t>
            </w:r>
          </w:p>
        </w:tc>
        <w:tc>
          <w:tcPr>
            <w:tcW w:w="709" w:type="dxa"/>
            <w:tcBorders>
              <w:top w:val="nil"/>
              <w:left w:val="nil"/>
              <w:bottom w:val="single" w:sz="4" w:space="0" w:color="auto"/>
              <w:right w:val="single" w:sz="4" w:space="0" w:color="auto"/>
            </w:tcBorders>
            <w:shd w:val="clear" w:color="auto" w:fill="auto"/>
            <w:vAlign w:val="bottom"/>
            <w:hideMark/>
          </w:tcPr>
          <w:p w:rsidR="00B62A99" w:rsidRPr="006973B5" w:rsidRDefault="00B62A99" w:rsidP="00B62A99">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Total</w:t>
            </w:r>
          </w:p>
        </w:tc>
      </w:tr>
      <w:tr w:rsidR="00B62A99" w:rsidRPr="006973B5" w:rsidTr="00B62A99">
        <w:trPr>
          <w:trHeight w:val="227"/>
        </w:trPr>
        <w:tc>
          <w:tcPr>
            <w:tcW w:w="1056" w:type="dxa"/>
            <w:vMerge w:val="restart"/>
            <w:tcBorders>
              <w:top w:val="nil"/>
              <w:left w:val="single" w:sz="4" w:space="0" w:color="auto"/>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Sexe</w:t>
            </w:r>
          </w:p>
        </w:tc>
        <w:tc>
          <w:tcPr>
            <w:tcW w:w="149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Masculin</w:t>
            </w:r>
          </w:p>
        </w:tc>
        <w:tc>
          <w:tcPr>
            <w:tcW w:w="99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93,7</w:t>
            </w:r>
          </w:p>
        </w:tc>
        <w:tc>
          <w:tcPr>
            <w:tcW w:w="10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0,6</w:t>
            </w:r>
          </w:p>
        </w:tc>
        <w:tc>
          <w:tcPr>
            <w:tcW w:w="94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0,8</w:t>
            </w:r>
          </w:p>
        </w:tc>
        <w:tc>
          <w:tcPr>
            <w:tcW w:w="77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56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99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2,1</w:t>
            </w:r>
          </w:p>
        </w:tc>
        <w:tc>
          <w:tcPr>
            <w:tcW w:w="105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2,7</w:t>
            </w:r>
          </w:p>
        </w:tc>
        <w:tc>
          <w:tcPr>
            <w:tcW w:w="7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70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B62A99">
        <w:trPr>
          <w:trHeight w:val="227"/>
        </w:trPr>
        <w:tc>
          <w:tcPr>
            <w:tcW w:w="1056"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149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Féminin</w:t>
            </w:r>
          </w:p>
        </w:tc>
        <w:tc>
          <w:tcPr>
            <w:tcW w:w="99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91,5</w:t>
            </w:r>
          </w:p>
        </w:tc>
        <w:tc>
          <w:tcPr>
            <w:tcW w:w="10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0,4</w:t>
            </w:r>
          </w:p>
        </w:tc>
        <w:tc>
          <w:tcPr>
            <w:tcW w:w="94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1,6</w:t>
            </w:r>
          </w:p>
        </w:tc>
        <w:tc>
          <w:tcPr>
            <w:tcW w:w="77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56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99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3,1</w:t>
            </w:r>
          </w:p>
        </w:tc>
        <w:tc>
          <w:tcPr>
            <w:tcW w:w="105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2,7</w:t>
            </w:r>
          </w:p>
        </w:tc>
        <w:tc>
          <w:tcPr>
            <w:tcW w:w="7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0,7</w:t>
            </w:r>
          </w:p>
        </w:tc>
        <w:tc>
          <w:tcPr>
            <w:tcW w:w="70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B62A99">
        <w:trPr>
          <w:trHeight w:val="227"/>
        </w:trPr>
        <w:tc>
          <w:tcPr>
            <w:tcW w:w="1056" w:type="dxa"/>
            <w:vMerge w:val="restart"/>
            <w:tcBorders>
              <w:top w:val="nil"/>
              <w:left w:val="single" w:sz="4" w:space="0" w:color="auto"/>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Zone de résidence</w:t>
            </w:r>
          </w:p>
        </w:tc>
        <w:tc>
          <w:tcPr>
            <w:tcW w:w="149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Bamako</w:t>
            </w:r>
          </w:p>
        </w:tc>
        <w:tc>
          <w:tcPr>
            <w:tcW w:w="99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68,1</w:t>
            </w:r>
          </w:p>
        </w:tc>
        <w:tc>
          <w:tcPr>
            <w:tcW w:w="10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94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4,8</w:t>
            </w:r>
          </w:p>
        </w:tc>
        <w:tc>
          <w:tcPr>
            <w:tcW w:w="77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56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99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14,8</w:t>
            </w:r>
          </w:p>
        </w:tc>
        <w:tc>
          <w:tcPr>
            <w:tcW w:w="105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10,8</w:t>
            </w:r>
          </w:p>
        </w:tc>
        <w:tc>
          <w:tcPr>
            <w:tcW w:w="7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1,6</w:t>
            </w:r>
          </w:p>
        </w:tc>
        <w:tc>
          <w:tcPr>
            <w:tcW w:w="70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B62A99">
        <w:trPr>
          <w:trHeight w:val="227"/>
        </w:trPr>
        <w:tc>
          <w:tcPr>
            <w:tcW w:w="1056"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149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Autre urbain</w:t>
            </w:r>
          </w:p>
        </w:tc>
        <w:tc>
          <w:tcPr>
            <w:tcW w:w="99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93,3</w:t>
            </w:r>
          </w:p>
        </w:tc>
        <w:tc>
          <w:tcPr>
            <w:tcW w:w="10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2,2</w:t>
            </w:r>
          </w:p>
        </w:tc>
        <w:tc>
          <w:tcPr>
            <w:tcW w:w="94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1,5</w:t>
            </w:r>
          </w:p>
        </w:tc>
        <w:tc>
          <w:tcPr>
            <w:tcW w:w="77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0,2</w:t>
            </w:r>
          </w:p>
        </w:tc>
        <w:tc>
          <w:tcPr>
            <w:tcW w:w="56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99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w:t>
            </w:r>
          </w:p>
        </w:tc>
        <w:tc>
          <w:tcPr>
            <w:tcW w:w="105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1,7</w:t>
            </w:r>
          </w:p>
        </w:tc>
        <w:tc>
          <w:tcPr>
            <w:tcW w:w="7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0,1</w:t>
            </w:r>
          </w:p>
        </w:tc>
        <w:tc>
          <w:tcPr>
            <w:tcW w:w="70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B62A99">
        <w:trPr>
          <w:trHeight w:val="227"/>
        </w:trPr>
        <w:tc>
          <w:tcPr>
            <w:tcW w:w="1056"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149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Rural</w:t>
            </w:r>
          </w:p>
        </w:tc>
        <w:tc>
          <w:tcPr>
            <w:tcW w:w="99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97,0</w:t>
            </w:r>
          </w:p>
        </w:tc>
        <w:tc>
          <w:tcPr>
            <w:tcW w:w="10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0,2</w:t>
            </w:r>
          </w:p>
        </w:tc>
        <w:tc>
          <w:tcPr>
            <w:tcW w:w="94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0,5</w:t>
            </w:r>
          </w:p>
        </w:tc>
        <w:tc>
          <w:tcPr>
            <w:tcW w:w="77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56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99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0,7</w:t>
            </w:r>
          </w:p>
        </w:tc>
        <w:tc>
          <w:tcPr>
            <w:tcW w:w="105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1,4</w:t>
            </w:r>
          </w:p>
        </w:tc>
        <w:tc>
          <w:tcPr>
            <w:tcW w:w="7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0,2</w:t>
            </w:r>
          </w:p>
        </w:tc>
        <w:tc>
          <w:tcPr>
            <w:tcW w:w="70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B62A99">
        <w:trPr>
          <w:trHeight w:val="227"/>
        </w:trPr>
        <w:tc>
          <w:tcPr>
            <w:tcW w:w="1056" w:type="dxa"/>
            <w:vMerge w:val="restart"/>
            <w:tcBorders>
              <w:top w:val="nil"/>
              <w:left w:val="single" w:sz="4" w:space="0" w:color="auto"/>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Niveau d'éducation</w:t>
            </w:r>
          </w:p>
        </w:tc>
        <w:tc>
          <w:tcPr>
            <w:tcW w:w="149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Aucun niveau</w:t>
            </w:r>
          </w:p>
        </w:tc>
        <w:tc>
          <w:tcPr>
            <w:tcW w:w="99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96,9</w:t>
            </w:r>
          </w:p>
        </w:tc>
        <w:tc>
          <w:tcPr>
            <w:tcW w:w="10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0,6</w:t>
            </w:r>
          </w:p>
        </w:tc>
        <w:tc>
          <w:tcPr>
            <w:tcW w:w="94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0,1</w:t>
            </w:r>
          </w:p>
        </w:tc>
        <w:tc>
          <w:tcPr>
            <w:tcW w:w="77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56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99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2,1</w:t>
            </w:r>
          </w:p>
        </w:tc>
        <w:tc>
          <w:tcPr>
            <w:tcW w:w="7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0,3</w:t>
            </w:r>
          </w:p>
        </w:tc>
        <w:tc>
          <w:tcPr>
            <w:tcW w:w="70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B62A99">
        <w:trPr>
          <w:trHeight w:val="227"/>
        </w:trPr>
        <w:tc>
          <w:tcPr>
            <w:tcW w:w="1056"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149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Primaire</w:t>
            </w:r>
          </w:p>
        </w:tc>
        <w:tc>
          <w:tcPr>
            <w:tcW w:w="99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95,2</w:t>
            </w:r>
          </w:p>
        </w:tc>
        <w:tc>
          <w:tcPr>
            <w:tcW w:w="10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0,1</w:t>
            </w:r>
          </w:p>
        </w:tc>
        <w:tc>
          <w:tcPr>
            <w:tcW w:w="94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0,2</w:t>
            </w:r>
          </w:p>
        </w:tc>
        <w:tc>
          <w:tcPr>
            <w:tcW w:w="77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56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99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0,5</w:t>
            </w:r>
          </w:p>
        </w:tc>
        <w:tc>
          <w:tcPr>
            <w:tcW w:w="105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3,9</w:t>
            </w:r>
          </w:p>
        </w:tc>
        <w:tc>
          <w:tcPr>
            <w:tcW w:w="7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0,2</w:t>
            </w:r>
          </w:p>
        </w:tc>
        <w:tc>
          <w:tcPr>
            <w:tcW w:w="70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B62A99">
        <w:trPr>
          <w:trHeight w:val="227"/>
        </w:trPr>
        <w:tc>
          <w:tcPr>
            <w:tcW w:w="1056"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149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Secondaire</w:t>
            </w:r>
          </w:p>
        </w:tc>
        <w:tc>
          <w:tcPr>
            <w:tcW w:w="99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44,0</w:t>
            </w:r>
          </w:p>
        </w:tc>
        <w:tc>
          <w:tcPr>
            <w:tcW w:w="10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2,3</w:t>
            </w:r>
          </w:p>
        </w:tc>
        <w:tc>
          <w:tcPr>
            <w:tcW w:w="94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13,4</w:t>
            </w:r>
          </w:p>
        </w:tc>
        <w:tc>
          <w:tcPr>
            <w:tcW w:w="77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56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99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36,2</w:t>
            </w:r>
          </w:p>
        </w:tc>
        <w:tc>
          <w:tcPr>
            <w:tcW w:w="105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1,3</w:t>
            </w:r>
          </w:p>
        </w:tc>
        <w:tc>
          <w:tcPr>
            <w:tcW w:w="7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2,9</w:t>
            </w:r>
          </w:p>
        </w:tc>
        <w:tc>
          <w:tcPr>
            <w:tcW w:w="70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B62A99">
        <w:trPr>
          <w:trHeight w:val="227"/>
        </w:trPr>
        <w:tc>
          <w:tcPr>
            <w:tcW w:w="1056"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149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Supérieur</w:t>
            </w:r>
          </w:p>
        </w:tc>
        <w:tc>
          <w:tcPr>
            <w:tcW w:w="99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21,8</w:t>
            </w:r>
          </w:p>
        </w:tc>
        <w:tc>
          <w:tcPr>
            <w:tcW w:w="10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94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34,2</w:t>
            </w:r>
          </w:p>
        </w:tc>
        <w:tc>
          <w:tcPr>
            <w:tcW w:w="77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1,9</w:t>
            </w:r>
          </w:p>
        </w:tc>
        <w:tc>
          <w:tcPr>
            <w:tcW w:w="56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99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42,1</w:t>
            </w:r>
          </w:p>
        </w:tc>
        <w:tc>
          <w:tcPr>
            <w:tcW w:w="105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7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70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B62A99">
        <w:trPr>
          <w:trHeight w:val="227"/>
        </w:trPr>
        <w:tc>
          <w:tcPr>
            <w:tcW w:w="1056"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149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Total</w:t>
            </w:r>
          </w:p>
        </w:tc>
        <w:tc>
          <w:tcPr>
            <w:tcW w:w="99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92,5</w:t>
            </w:r>
          </w:p>
        </w:tc>
        <w:tc>
          <w:tcPr>
            <w:tcW w:w="10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0,5</w:t>
            </w:r>
          </w:p>
        </w:tc>
        <w:tc>
          <w:tcPr>
            <w:tcW w:w="94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1,3</w:t>
            </w:r>
          </w:p>
        </w:tc>
        <w:tc>
          <w:tcPr>
            <w:tcW w:w="77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56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99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2,6</w:t>
            </w:r>
          </w:p>
        </w:tc>
        <w:tc>
          <w:tcPr>
            <w:tcW w:w="105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2,7</w:t>
            </w:r>
          </w:p>
        </w:tc>
        <w:tc>
          <w:tcPr>
            <w:tcW w:w="73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0,4</w:t>
            </w:r>
          </w:p>
        </w:tc>
        <w:tc>
          <w:tcPr>
            <w:tcW w:w="70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bl>
    <w:p w:rsidR="00B62A99" w:rsidRPr="006973B5" w:rsidRDefault="00B62A99" w:rsidP="00B62A99"/>
    <w:p w:rsidR="00B62A99" w:rsidRPr="006973B5" w:rsidRDefault="003F6D82" w:rsidP="008E06D0">
      <w:pPr>
        <w:jc w:val="both"/>
        <w:rPr>
          <w:rFonts w:ascii="Times New Roman" w:hAnsi="Times New Roman" w:cs="Times New Roman"/>
          <w:sz w:val="24"/>
        </w:rPr>
      </w:pPr>
      <w:r w:rsidRPr="006973B5">
        <w:rPr>
          <w:rFonts w:ascii="Times New Roman" w:hAnsi="Times New Roman" w:cs="Times New Roman"/>
          <w:sz w:val="24"/>
        </w:rPr>
        <w:t xml:space="preserve">S’agissant du type d’emploi recherche, 86,6% des jeunes chômeurs sont indifférents par rapport aux type d’emploi recherché (tableau +++). </w:t>
      </w:r>
      <w:r w:rsidR="006C5EC7" w:rsidRPr="006973B5">
        <w:rPr>
          <w:rFonts w:ascii="Times New Roman" w:hAnsi="Times New Roman" w:cs="Times New Roman"/>
          <w:sz w:val="24"/>
        </w:rPr>
        <w:t xml:space="preserve">Plus d’un quart </w:t>
      </w:r>
      <w:r w:rsidR="00C53527" w:rsidRPr="006973B5">
        <w:rPr>
          <w:rFonts w:ascii="Times New Roman" w:hAnsi="Times New Roman" w:cs="Times New Roman"/>
          <w:sz w:val="24"/>
        </w:rPr>
        <w:t xml:space="preserve">(25,8%) </w:t>
      </w:r>
      <w:r w:rsidR="006C5EC7" w:rsidRPr="006973B5">
        <w:rPr>
          <w:rFonts w:ascii="Times New Roman" w:hAnsi="Times New Roman" w:cs="Times New Roman"/>
          <w:sz w:val="24"/>
        </w:rPr>
        <w:t xml:space="preserve">des </w:t>
      </w:r>
      <w:r w:rsidR="0068012E" w:rsidRPr="006973B5">
        <w:rPr>
          <w:rFonts w:ascii="Times New Roman" w:hAnsi="Times New Roman" w:cs="Times New Roman"/>
          <w:sz w:val="24"/>
        </w:rPr>
        <w:t>jeunes résidant à Bamako</w:t>
      </w:r>
      <w:r w:rsidR="006C5EC7" w:rsidRPr="006973B5">
        <w:rPr>
          <w:rFonts w:ascii="Times New Roman" w:hAnsi="Times New Roman" w:cs="Times New Roman"/>
          <w:sz w:val="24"/>
        </w:rPr>
        <w:t xml:space="preserve"> préfèrent trouver un emploi salarié. Par contre dans la région de Sikasso, 34,8% des jeunes chômeurs préfèrent plutôt l’emploi indépendant. </w:t>
      </w:r>
      <w:r w:rsidR="00C53527" w:rsidRPr="006973B5">
        <w:rPr>
          <w:rFonts w:ascii="Times New Roman" w:hAnsi="Times New Roman" w:cs="Times New Roman"/>
          <w:sz w:val="24"/>
        </w:rPr>
        <w:t xml:space="preserve">Respectivement, 57,6% et 86,5% des </w:t>
      </w:r>
      <w:r w:rsidR="006C5EC7" w:rsidRPr="006973B5">
        <w:rPr>
          <w:rFonts w:ascii="Times New Roman" w:hAnsi="Times New Roman" w:cs="Times New Roman"/>
          <w:sz w:val="24"/>
        </w:rPr>
        <w:t xml:space="preserve">jeunes ayant les niveaux d’éducation secondaire et </w:t>
      </w:r>
      <w:r w:rsidR="00AD4D0A" w:rsidRPr="006973B5">
        <w:rPr>
          <w:rFonts w:ascii="Times New Roman" w:hAnsi="Times New Roman" w:cs="Times New Roman"/>
          <w:sz w:val="24"/>
        </w:rPr>
        <w:t>supérieure</w:t>
      </w:r>
      <w:r w:rsidR="006C5EC7" w:rsidRPr="006973B5">
        <w:rPr>
          <w:rFonts w:ascii="Times New Roman" w:hAnsi="Times New Roman" w:cs="Times New Roman"/>
          <w:sz w:val="24"/>
        </w:rPr>
        <w:t xml:space="preserve"> s’intéressent plus à l’emploi salarié</w:t>
      </w:r>
      <w:r w:rsidR="00C53527" w:rsidRPr="006973B5">
        <w:rPr>
          <w:rFonts w:ascii="Times New Roman" w:hAnsi="Times New Roman" w:cs="Times New Roman"/>
          <w:sz w:val="24"/>
        </w:rPr>
        <w:t xml:space="preserve">. </w:t>
      </w:r>
      <w:r w:rsidR="006C5EC7" w:rsidRPr="006973B5">
        <w:rPr>
          <w:rFonts w:ascii="Times New Roman" w:hAnsi="Times New Roman" w:cs="Times New Roman"/>
          <w:sz w:val="24"/>
        </w:rPr>
        <w:t xml:space="preserve"> </w:t>
      </w:r>
    </w:p>
    <w:p w:rsidR="00B62A99" w:rsidRPr="006973B5" w:rsidRDefault="00B62A99" w:rsidP="00B62A99">
      <w:pPr>
        <w:pStyle w:val="Lgende"/>
        <w:keepNext/>
        <w:spacing w:after="0"/>
        <w:rPr>
          <w:color w:val="auto"/>
          <w:sz w:val="20"/>
          <w:szCs w:val="20"/>
        </w:rPr>
      </w:pPr>
      <w:bookmarkStart w:id="45" w:name="_Toc514766314"/>
      <w:bookmarkStart w:id="46" w:name="_Toc516676463"/>
      <w:r w:rsidRPr="006973B5">
        <w:rPr>
          <w:color w:val="auto"/>
          <w:sz w:val="20"/>
          <w:szCs w:val="20"/>
        </w:rPr>
        <w:t xml:space="preserve">Tableau </w:t>
      </w:r>
      <w:r w:rsidR="00211B05" w:rsidRPr="006973B5">
        <w:rPr>
          <w:color w:val="auto"/>
          <w:sz w:val="20"/>
          <w:szCs w:val="20"/>
        </w:rPr>
        <w:fldChar w:fldCharType="begin"/>
      </w:r>
      <w:r w:rsidR="00211B05" w:rsidRPr="006973B5">
        <w:rPr>
          <w:color w:val="auto"/>
          <w:sz w:val="20"/>
          <w:szCs w:val="20"/>
        </w:rPr>
        <w:instrText xml:space="preserve"> SEQ Tableau \* ARABIC </w:instrText>
      </w:r>
      <w:r w:rsidR="00211B05" w:rsidRPr="006973B5">
        <w:rPr>
          <w:color w:val="auto"/>
          <w:sz w:val="20"/>
          <w:szCs w:val="20"/>
        </w:rPr>
        <w:fldChar w:fldCharType="separate"/>
      </w:r>
      <w:r w:rsidR="00211B05" w:rsidRPr="006973B5">
        <w:rPr>
          <w:noProof/>
          <w:color w:val="auto"/>
          <w:sz w:val="20"/>
          <w:szCs w:val="20"/>
        </w:rPr>
        <w:t>11</w:t>
      </w:r>
      <w:r w:rsidR="00211B05" w:rsidRPr="006973B5">
        <w:rPr>
          <w:color w:val="auto"/>
          <w:sz w:val="20"/>
          <w:szCs w:val="20"/>
        </w:rPr>
        <w:fldChar w:fldCharType="end"/>
      </w:r>
      <w:r w:rsidRPr="006973B5">
        <w:rPr>
          <w:color w:val="auto"/>
          <w:sz w:val="20"/>
          <w:szCs w:val="20"/>
        </w:rPr>
        <w:t>. Répartition des chômeurs du Mali suivant le sexe, le type de chômeur et le type d'emploi recherché</w:t>
      </w:r>
      <w:bookmarkEnd w:id="45"/>
      <w:bookmarkEnd w:id="46"/>
    </w:p>
    <w:tbl>
      <w:tblPr>
        <w:tblW w:w="9800" w:type="dxa"/>
        <w:tblCellMar>
          <w:left w:w="70" w:type="dxa"/>
          <w:right w:w="70" w:type="dxa"/>
        </w:tblCellMar>
        <w:tblLook w:val="04A0" w:firstRow="1" w:lastRow="0" w:firstColumn="1" w:lastColumn="0" w:noHBand="0" w:noVBand="1"/>
      </w:tblPr>
      <w:tblGrid>
        <w:gridCol w:w="2562"/>
        <w:gridCol w:w="2201"/>
        <w:gridCol w:w="1119"/>
        <w:gridCol w:w="1476"/>
        <w:gridCol w:w="1257"/>
        <w:gridCol w:w="1185"/>
      </w:tblGrid>
      <w:tr w:rsidR="00B62A99" w:rsidRPr="006973B5" w:rsidTr="00B62A99">
        <w:trPr>
          <w:trHeight w:val="249"/>
        </w:trPr>
        <w:tc>
          <w:tcPr>
            <w:tcW w:w="47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 </w:t>
            </w:r>
          </w:p>
        </w:tc>
        <w:tc>
          <w:tcPr>
            <w:tcW w:w="5037" w:type="dxa"/>
            <w:gridSpan w:val="4"/>
            <w:tcBorders>
              <w:top w:val="single" w:sz="4" w:space="0" w:color="auto"/>
              <w:left w:val="nil"/>
              <w:bottom w:val="single" w:sz="4" w:space="0" w:color="auto"/>
              <w:right w:val="single" w:sz="4" w:space="0" w:color="auto"/>
            </w:tcBorders>
            <w:shd w:val="clear" w:color="auto" w:fill="auto"/>
            <w:vAlign w:val="bottom"/>
            <w:hideMark/>
          </w:tcPr>
          <w:p w:rsidR="00B62A99" w:rsidRPr="006973B5" w:rsidRDefault="00B62A99" w:rsidP="00B62A99">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Type d'emploi recherché</w:t>
            </w:r>
          </w:p>
        </w:tc>
      </w:tr>
      <w:tr w:rsidR="00B62A99" w:rsidRPr="006973B5" w:rsidTr="00AD4D0A">
        <w:trPr>
          <w:trHeight w:val="249"/>
        </w:trPr>
        <w:tc>
          <w:tcPr>
            <w:tcW w:w="4763" w:type="dxa"/>
            <w:gridSpan w:val="2"/>
            <w:vMerge/>
            <w:tcBorders>
              <w:top w:val="single" w:sz="4" w:space="0" w:color="auto"/>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1119" w:type="dxa"/>
            <w:tcBorders>
              <w:top w:val="nil"/>
              <w:left w:val="nil"/>
              <w:bottom w:val="single" w:sz="4" w:space="0" w:color="auto"/>
              <w:right w:val="single" w:sz="4" w:space="0" w:color="auto"/>
            </w:tcBorders>
            <w:shd w:val="clear" w:color="auto" w:fill="auto"/>
            <w:vAlign w:val="bottom"/>
            <w:hideMark/>
          </w:tcPr>
          <w:p w:rsidR="00B62A99" w:rsidRPr="006973B5" w:rsidRDefault="00B62A99" w:rsidP="00B62A99">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Salarié</w:t>
            </w:r>
          </w:p>
        </w:tc>
        <w:tc>
          <w:tcPr>
            <w:tcW w:w="1476" w:type="dxa"/>
            <w:tcBorders>
              <w:top w:val="nil"/>
              <w:left w:val="nil"/>
              <w:bottom w:val="single" w:sz="4" w:space="0" w:color="auto"/>
              <w:right w:val="single" w:sz="4" w:space="0" w:color="auto"/>
            </w:tcBorders>
            <w:shd w:val="clear" w:color="auto" w:fill="auto"/>
            <w:vAlign w:val="bottom"/>
            <w:hideMark/>
          </w:tcPr>
          <w:p w:rsidR="00B62A99" w:rsidRPr="006973B5" w:rsidRDefault="00B62A99" w:rsidP="00B62A99">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Indépendant</w:t>
            </w:r>
          </w:p>
        </w:tc>
        <w:tc>
          <w:tcPr>
            <w:tcW w:w="1257" w:type="dxa"/>
            <w:tcBorders>
              <w:top w:val="nil"/>
              <w:left w:val="nil"/>
              <w:bottom w:val="single" w:sz="4" w:space="0" w:color="auto"/>
              <w:right w:val="single" w:sz="4" w:space="0" w:color="auto"/>
            </w:tcBorders>
            <w:shd w:val="clear" w:color="auto" w:fill="auto"/>
            <w:vAlign w:val="bottom"/>
            <w:hideMark/>
          </w:tcPr>
          <w:p w:rsidR="00B62A99" w:rsidRPr="006973B5" w:rsidRDefault="00B62A99" w:rsidP="00B62A99">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Indifférent</w:t>
            </w:r>
          </w:p>
        </w:tc>
        <w:tc>
          <w:tcPr>
            <w:tcW w:w="1185" w:type="dxa"/>
            <w:tcBorders>
              <w:top w:val="nil"/>
              <w:left w:val="nil"/>
              <w:bottom w:val="single" w:sz="4" w:space="0" w:color="auto"/>
              <w:right w:val="single" w:sz="4" w:space="0" w:color="auto"/>
            </w:tcBorders>
            <w:shd w:val="clear" w:color="auto" w:fill="auto"/>
            <w:vAlign w:val="bottom"/>
            <w:hideMark/>
          </w:tcPr>
          <w:p w:rsidR="00B62A99" w:rsidRPr="006973B5" w:rsidRDefault="00B62A99" w:rsidP="00B62A99">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Total</w:t>
            </w:r>
          </w:p>
        </w:tc>
      </w:tr>
      <w:tr w:rsidR="00B62A99" w:rsidRPr="006973B5" w:rsidTr="00AD4D0A">
        <w:trPr>
          <w:trHeight w:val="249"/>
        </w:trPr>
        <w:tc>
          <w:tcPr>
            <w:tcW w:w="2562" w:type="dxa"/>
            <w:vMerge w:val="restart"/>
            <w:tcBorders>
              <w:top w:val="nil"/>
              <w:left w:val="single" w:sz="4" w:space="0" w:color="auto"/>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Sexe</w:t>
            </w:r>
          </w:p>
        </w:tc>
        <w:tc>
          <w:tcPr>
            <w:tcW w:w="220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Masculin</w:t>
            </w:r>
          </w:p>
        </w:tc>
        <w:tc>
          <w:tcPr>
            <w:tcW w:w="111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9,6</w:t>
            </w:r>
          </w:p>
        </w:tc>
        <w:tc>
          <w:tcPr>
            <w:tcW w:w="147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4,6</w:t>
            </w:r>
          </w:p>
        </w:tc>
        <w:tc>
          <w:tcPr>
            <w:tcW w:w="125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85,7</w:t>
            </w:r>
          </w:p>
        </w:tc>
        <w:tc>
          <w:tcPr>
            <w:tcW w:w="1185"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AD4D0A">
        <w:trPr>
          <w:trHeight w:val="249"/>
        </w:trPr>
        <w:tc>
          <w:tcPr>
            <w:tcW w:w="2562"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220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Féminin</w:t>
            </w:r>
          </w:p>
        </w:tc>
        <w:tc>
          <w:tcPr>
            <w:tcW w:w="111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7,8</w:t>
            </w:r>
          </w:p>
        </w:tc>
        <w:tc>
          <w:tcPr>
            <w:tcW w:w="147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4,4</w:t>
            </w:r>
          </w:p>
        </w:tc>
        <w:tc>
          <w:tcPr>
            <w:tcW w:w="125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87,8</w:t>
            </w:r>
          </w:p>
        </w:tc>
        <w:tc>
          <w:tcPr>
            <w:tcW w:w="1185"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AD4D0A">
        <w:trPr>
          <w:trHeight w:val="249"/>
        </w:trPr>
        <w:tc>
          <w:tcPr>
            <w:tcW w:w="2562" w:type="dxa"/>
            <w:vMerge w:val="restart"/>
            <w:tcBorders>
              <w:top w:val="nil"/>
              <w:left w:val="single" w:sz="4" w:space="0" w:color="auto"/>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Zone de résidence</w:t>
            </w:r>
          </w:p>
        </w:tc>
        <w:tc>
          <w:tcPr>
            <w:tcW w:w="220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Bamako</w:t>
            </w:r>
          </w:p>
        </w:tc>
        <w:tc>
          <w:tcPr>
            <w:tcW w:w="111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25,8</w:t>
            </w:r>
          </w:p>
        </w:tc>
        <w:tc>
          <w:tcPr>
            <w:tcW w:w="147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5,9</w:t>
            </w:r>
          </w:p>
        </w:tc>
        <w:tc>
          <w:tcPr>
            <w:tcW w:w="125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68,4</w:t>
            </w:r>
          </w:p>
        </w:tc>
        <w:tc>
          <w:tcPr>
            <w:tcW w:w="1185"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AD4D0A">
        <w:trPr>
          <w:trHeight w:val="249"/>
        </w:trPr>
        <w:tc>
          <w:tcPr>
            <w:tcW w:w="2562"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220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Autre urbain</w:t>
            </w:r>
          </w:p>
        </w:tc>
        <w:tc>
          <w:tcPr>
            <w:tcW w:w="111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9,5</w:t>
            </w:r>
          </w:p>
        </w:tc>
        <w:tc>
          <w:tcPr>
            <w:tcW w:w="147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12,4</w:t>
            </w:r>
          </w:p>
        </w:tc>
        <w:tc>
          <w:tcPr>
            <w:tcW w:w="125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78,1</w:t>
            </w:r>
          </w:p>
        </w:tc>
        <w:tc>
          <w:tcPr>
            <w:tcW w:w="1185"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AD4D0A">
        <w:trPr>
          <w:trHeight w:val="249"/>
        </w:trPr>
        <w:tc>
          <w:tcPr>
            <w:tcW w:w="2562"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220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Rural</w:t>
            </w:r>
          </w:p>
        </w:tc>
        <w:tc>
          <w:tcPr>
            <w:tcW w:w="111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5,3</w:t>
            </w:r>
          </w:p>
        </w:tc>
        <w:tc>
          <w:tcPr>
            <w:tcW w:w="147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2,7</w:t>
            </w:r>
          </w:p>
        </w:tc>
        <w:tc>
          <w:tcPr>
            <w:tcW w:w="125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92,1</w:t>
            </w:r>
          </w:p>
        </w:tc>
        <w:tc>
          <w:tcPr>
            <w:tcW w:w="1185"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AD4D0A">
        <w:trPr>
          <w:trHeight w:val="249"/>
        </w:trPr>
        <w:tc>
          <w:tcPr>
            <w:tcW w:w="2562" w:type="dxa"/>
            <w:vMerge w:val="restart"/>
            <w:tcBorders>
              <w:top w:val="nil"/>
              <w:left w:val="single" w:sz="4" w:space="0" w:color="auto"/>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Région</w:t>
            </w:r>
          </w:p>
        </w:tc>
        <w:tc>
          <w:tcPr>
            <w:tcW w:w="220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Kayes</w:t>
            </w:r>
          </w:p>
        </w:tc>
        <w:tc>
          <w:tcPr>
            <w:tcW w:w="111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8,6</w:t>
            </w:r>
          </w:p>
        </w:tc>
        <w:tc>
          <w:tcPr>
            <w:tcW w:w="147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7,2</w:t>
            </w:r>
          </w:p>
        </w:tc>
        <w:tc>
          <w:tcPr>
            <w:tcW w:w="125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84,2</w:t>
            </w:r>
          </w:p>
        </w:tc>
        <w:tc>
          <w:tcPr>
            <w:tcW w:w="1185"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AD4D0A">
        <w:trPr>
          <w:trHeight w:val="249"/>
        </w:trPr>
        <w:tc>
          <w:tcPr>
            <w:tcW w:w="2562"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220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Koulikoro</w:t>
            </w:r>
          </w:p>
        </w:tc>
        <w:tc>
          <w:tcPr>
            <w:tcW w:w="111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4,9</w:t>
            </w:r>
          </w:p>
        </w:tc>
        <w:tc>
          <w:tcPr>
            <w:tcW w:w="147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0,9</w:t>
            </w:r>
          </w:p>
        </w:tc>
        <w:tc>
          <w:tcPr>
            <w:tcW w:w="125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94,1</w:t>
            </w:r>
          </w:p>
        </w:tc>
        <w:tc>
          <w:tcPr>
            <w:tcW w:w="1185"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AD4D0A">
        <w:trPr>
          <w:trHeight w:val="249"/>
        </w:trPr>
        <w:tc>
          <w:tcPr>
            <w:tcW w:w="2562"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220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Sikasso</w:t>
            </w:r>
          </w:p>
        </w:tc>
        <w:tc>
          <w:tcPr>
            <w:tcW w:w="111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8,0</w:t>
            </w:r>
          </w:p>
        </w:tc>
        <w:tc>
          <w:tcPr>
            <w:tcW w:w="147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34,8</w:t>
            </w:r>
          </w:p>
        </w:tc>
        <w:tc>
          <w:tcPr>
            <w:tcW w:w="125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57,2</w:t>
            </w:r>
          </w:p>
        </w:tc>
        <w:tc>
          <w:tcPr>
            <w:tcW w:w="1185"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AD4D0A">
        <w:trPr>
          <w:trHeight w:val="249"/>
        </w:trPr>
        <w:tc>
          <w:tcPr>
            <w:tcW w:w="2562"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220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Ségou</w:t>
            </w:r>
          </w:p>
        </w:tc>
        <w:tc>
          <w:tcPr>
            <w:tcW w:w="111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10,5</w:t>
            </w:r>
          </w:p>
        </w:tc>
        <w:tc>
          <w:tcPr>
            <w:tcW w:w="147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3,6</w:t>
            </w:r>
          </w:p>
        </w:tc>
        <w:tc>
          <w:tcPr>
            <w:tcW w:w="125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85,9</w:t>
            </w:r>
          </w:p>
        </w:tc>
        <w:tc>
          <w:tcPr>
            <w:tcW w:w="1185"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AD4D0A">
        <w:trPr>
          <w:trHeight w:val="249"/>
        </w:trPr>
        <w:tc>
          <w:tcPr>
            <w:tcW w:w="2562"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220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Mopti</w:t>
            </w:r>
          </w:p>
        </w:tc>
        <w:tc>
          <w:tcPr>
            <w:tcW w:w="111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5,7</w:t>
            </w:r>
          </w:p>
        </w:tc>
        <w:tc>
          <w:tcPr>
            <w:tcW w:w="147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w:t>
            </w:r>
          </w:p>
        </w:tc>
        <w:tc>
          <w:tcPr>
            <w:tcW w:w="125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93,3</w:t>
            </w:r>
          </w:p>
        </w:tc>
        <w:tc>
          <w:tcPr>
            <w:tcW w:w="1185"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AD4D0A">
        <w:trPr>
          <w:trHeight w:val="249"/>
        </w:trPr>
        <w:tc>
          <w:tcPr>
            <w:tcW w:w="2562"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220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Tombouctou</w:t>
            </w:r>
          </w:p>
        </w:tc>
        <w:tc>
          <w:tcPr>
            <w:tcW w:w="111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19,9</w:t>
            </w:r>
          </w:p>
        </w:tc>
        <w:tc>
          <w:tcPr>
            <w:tcW w:w="147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2,1</w:t>
            </w:r>
          </w:p>
        </w:tc>
        <w:tc>
          <w:tcPr>
            <w:tcW w:w="125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78,0</w:t>
            </w:r>
          </w:p>
        </w:tc>
        <w:tc>
          <w:tcPr>
            <w:tcW w:w="1185"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AD4D0A">
        <w:trPr>
          <w:trHeight w:val="249"/>
        </w:trPr>
        <w:tc>
          <w:tcPr>
            <w:tcW w:w="2562"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220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Gao</w:t>
            </w:r>
          </w:p>
        </w:tc>
        <w:tc>
          <w:tcPr>
            <w:tcW w:w="111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0,8</w:t>
            </w:r>
          </w:p>
        </w:tc>
        <w:tc>
          <w:tcPr>
            <w:tcW w:w="147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1,2</w:t>
            </w:r>
          </w:p>
        </w:tc>
        <w:tc>
          <w:tcPr>
            <w:tcW w:w="125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97,9</w:t>
            </w:r>
          </w:p>
        </w:tc>
        <w:tc>
          <w:tcPr>
            <w:tcW w:w="1185"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AD4D0A">
        <w:trPr>
          <w:trHeight w:val="249"/>
        </w:trPr>
        <w:tc>
          <w:tcPr>
            <w:tcW w:w="2562"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220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Bamako</w:t>
            </w:r>
          </w:p>
        </w:tc>
        <w:tc>
          <w:tcPr>
            <w:tcW w:w="111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25,8</w:t>
            </w:r>
          </w:p>
        </w:tc>
        <w:tc>
          <w:tcPr>
            <w:tcW w:w="147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5,9</w:t>
            </w:r>
          </w:p>
        </w:tc>
        <w:tc>
          <w:tcPr>
            <w:tcW w:w="125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68,4</w:t>
            </w:r>
          </w:p>
        </w:tc>
        <w:tc>
          <w:tcPr>
            <w:tcW w:w="1185"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AD4D0A">
        <w:trPr>
          <w:trHeight w:val="249"/>
        </w:trPr>
        <w:tc>
          <w:tcPr>
            <w:tcW w:w="2562" w:type="dxa"/>
            <w:vMerge w:val="restart"/>
            <w:tcBorders>
              <w:top w:val="nil"/>
              <w:left w:val="single" w:sz="4" w:space="0" w:color="auto"/>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Niveau d'éducation</w:t>
            </w:r>
          </w:p>
        </w:tc>
        <w:tc>
          <w:tcPr>
            <w:tcW w:w="220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Aucun niveau</w:t>
            </w:r>
          </w:p>
        </w:tc>
        <w:tc>
          <w:tcPr>
            <w:tcW w:w="111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2,3</w:t>
            </w:r>
          </w:p>
        </w:tc>
        <w:tc>
          <w:tcPr>
            <w:tcW w:w="147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2,2</w:t>
            </w:r>
          </w:p>
        </w:tc>
        <w:tc>
          <w:tcPr>
            <w:tcW w:w="125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95,5</w:t>
            </w:r>
          </w:p>
        </w:tc>
        <w:tc>
          <w:tcPr>
            <w:tcW w:w="1185"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AD4D0A">
        <w:trPr>
          <w:trHeight w:val="249"/>
        </w:trPr>
        <w:tc>
          <w:tcPr>
            <w:tcW w:w="2562"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220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Primaire</w:t>
            </w:r>
          </w:p>
        </w:tc>
        <w:tc>
          <w:tcPr>
            <w:tcW w:w="111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8,4</w:t>
            </w:r>
          </w:p>
        </w:tc>
        <w:tc>
          <w:tcPr>
            <w:tcW w:w="147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8,3</w:t>
            </w:r>
          </w:p>
        </w:tc>
        <w:tc>
          <w:tcPr>
            <w:tcW w:w="125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83,3</w:t>
            </w:r>
          </w:p>
        </w:tc>
        <w:tc>
          <w:tcPr>
            <w:tcW w:w="1185"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AD4D0A">
        <w:trPr>
          <w:trHeight w:val="249"/>
        </w:trPr>
        <w:tc>
          <w:tcPr>
            <w:tcW w:w="2562"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220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Secondaire</w:t>
            </w:r>
          </w:p>
        </w:tc>
        <w:tc>
          <w:tcPr>
            <w:tcW w:w="111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57,1</w:t>
            </w:r>
          </w:p>
        </w:tc>
        <w:tc>
          <w:tcPr>
            <w:tcW w:w="147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0,8</w:t>
            </w:r>
          </w:p>
        </w:tc>
        <w:tc>
          <w:tcPr>
            <w:tcW w:w="125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42,1</w:t>
            </w:r>
          </w:p>
        </w:tc>
        <w:tc>
          <w:tcPr>
            <w:tcW w:w="1185"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AD4D0A">
        <w:trPr>
          <w:trHeight w:val="249"/>
        </w:trPr>
        <w:tc>
          <w:tcPr>
            <w:tcW w:w="2562"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220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Supérieur</w:t>
            </w:r>
          </w:p>
        </w:tc>
        <w:tc>
          <w:tcPr>
            <w:tcW w:w="111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86,5</w:t>
            </w:r>
          </w:p>
        </w:tc>
        <w:tc>
          <w:tcPr>
            <w:tcW w:w="147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25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13,5</w:t>
            </w:r>
          </w:p>
        </w:tc>
        <w:tc>
          <w:tcPr>
            <w:tcW w:w="1185"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AD4D0A">
        <w:trPr>
          <w:trHeight w:val="249"/>
        </w:trPr>
        <w:tc>
          <w:tcPr>
            <w:tcW w:w="2562"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2201" w:type="dxa"/>
            <w:tcBorders>
              <w:top w:val="nil"/>
              <w:left w:val="nil"/>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Total</w:t>
            </w:r>
          </w:p>
        </w:tc>
        <w:tc>
          <w:tcPr>
            <w:tcW w:w="1119"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8,6</w:t>
            </w:r>
          </w:p>
        </w:tc>
        <w:tc>
          <w:tcPr>
            <w:tcW w:w="147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4,5</w:t>
            </w:r>
          </w:p>
        </w:tc>
        <w:tc>
          <w:tcPr>
            <w:tcW w:w="1257"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86,8</w:t>
            </w:r>
          </w:p>
        </w:tc>
        <w:tc>
          <w:tcPr>
            <w:tcW w:w="1185"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bl>
    <w:p w:rsidR="00AD4D0A" w:rsidRPr="006973B5" w:rsidRDefault="00AD4D0A" w:rsidP="00AD4D0A">
      <w:pPr>
        <w:spacing w:after="0"/>
        <w:rPr>
          <w:rFonts w:ascii="Times New Roman" w:hAnsi="Times New Roman" w:cs="Times New Roman"/>
          <w:i/>
          <w:sz w:val="20"/>
          <w:szCs w:val="20"/>
          <w:lang w:val="en-GB"/>
        </w:rPr>
      </w:pPr>
      <w:r w:rsidRPr="006973B5">
        <w:rPr>
          <w:rFonts w:ascii="Times New Roman" w:hAnsi="Times New Roman" w:cs="Times New Roman"/>
          <w:sz w:val="20"/>
          <w:szCs w:val="20"/>
          <w:u w:val="single"/>
        </w:rPr>
        <w:t>Source :</w:t>
      </w:r>
      <w:r w:rsidRPr="006973B5">
        <w:rPr>
          <w:rFonts w:ascii="Times New Roman" w:hAnsi="Times New Roman" w:cs="Times New Roman"/>
          <w:sz w:val="20"/>
          <w:szCs w:val="20"/>
        </w:rPr>
        <w:t xml:space="preserve"> ONEF, à partir des données</w:t>
      </w:r>
      <w:r w:rsidRPr="006973B5">
        <w:rPr>
          <w:rFonts w:ascii="Times New Roman" w:hAnsi="Times New Roman" w:cs="Times New Roman"/>
          <w:i/>
          <w:sz w:val="20"/>
          <w:szCs w:val="20"/>
          <w:lang w:val="en-GB"/>
        </w:rPr>
        <w:t xml:space="preserve"> EMOP-2017</w:t>
      </w:r>
    </w:p>
    <w:p w:rsidR="00CA1CE8" w:rsidRPr="006973B5" w:rsidRDefault="00CA1CE8">
      <w:pPr>
        <w:rPr>
          <w:rFonts w:ascii="Times New Roman" w:hAnsi="Times New Roman" w:cs="Times New Roman"/>
          <w:b/>
          <w:bCs/>
          <w:iCs/>
          <w:sz w:val="20"/>
          <w:szCs w:val="20"/>
        </w:rPr>
      </w:pPr>
    </w:p>
    <w:p w:rsidR="00B44614" w:rsidRPr="006973B5" w:rsidRDefault="008E06D0" w:rsidP="00E84EE6">
      <w:pPr>
        <w:spacing w:line="276" w:lineRule="auto"/>
        <w:jc w:val="both"/>
        <w:rPr>
          <w:rFonts w:ascii="Times New Roman" w:hAnsi="Times New Roman" w:cs="Times New Roman"/>
          <w:sz w:val="24"/>
        </w:rPr>
      </w:pPr>
      <w:r w:rsidRPr="006973B5">
        <w:rPr>
          <w:rFonts w:ascii="Times New Roman" w:hAnsi="Times New Roman" w:cs="Times New Roman"/>
          <w:sz w:val="24"/>
        </w:rPr>
        <w:lastRenderedPageBreak/>
        <w:t xml:space="preserve">Plus de 50% des jeunes ayant le niveau d’éducation secondaire et supérieur </w:t>
      </w:r>
      <w:r w:rsidR="00B42AA4" w:rsidRPr="006973B5">
        <w:rPr>
          <w:rFonts w:ascii="Times New Roman" w:hAnsi="Times New Roman" w:cs="Times New Roman"/>
          <w:sz w:val="24"/>
        </w:rPr>
        <w:t xml:space="preserve">préfèrent travailler </w:t>
      </w:r>
      <w:r w:rsidR="00A838FD" w:rsidRPr="006973B5">
        <w:rPr>
          <w:rFonts w:ascii="Times New Roman" w:hAnsi="Times New Roman" w:cs="Times New Roman"/>
          <w:sz w:val="24"/>
        </w:rPr>
        <w:t xml:space="preserve">dans les structures publiques (administration publique, entreprise publique). </w:t>
      </w:r>
      <w:r w:rsidR="00287100" w:rsidRPr="006973B5">
        <w:rPr>
          <w:rFonts w:ascii="Times New Roman" w:hAnsi="Times New Roman" w:cs="Times New Roman"/>
          <w:sz w:val="24"/>
        </w:rPr>
        <w:t>Cett</w:t>
      </w:r>
      <w:r w:rsidR="00EC61CD" w:rsidRPr="006973B5">
        <w:rPr>
          <w:rFonts w:ascii="Times New Roman" w:hAnsi="Times New Roman" w:cs="Times New Roman"/>
          <w:sz w:val="24"/>
        </w:rPr>
        <w:t>e préférence se justifie par la simple raison</w:t>
      </w:r>
      <w:r w:rsidR="00B22A1F" w:rsidRPr="006973B5">
        <w:rPr>
          <w:rFonts w:ascii="Times New Roman" w:hAnsi="Times New Roman" w:cs="Times New Roman"/>
          <w:sz w:val="24"/>
        </w:rPr>
        <w:t xml:space="preserve"> que, </w:t>
      </w:r>
      <w:r w:rsidR="00EC61CD" w:rsidRPr="006973B5">
        <w:rPr>
          <w:rFonts w:ascii="Times New Roman" w:hAnsi="Times New Roman" w:cs="Times New Roman"/>
          <w:sz w:val="24"/>
        </w:rPr>
        <w:t xml:space="preserve">pour la plupart des jeunes le fait de travailler dans ces structures apporte plus de garantie quant à la pérennité de l’emploi. </w:t>
      </w:r>
      <w:r w:rsidR="00B22A1F" w:rsidRPr="006973B5">
        <w:rPr>
          <w:rFonts w:ascii="Times New Roman" w:hAnsi="Times New Roman" w:cs="Times New Roman"/>
          <w:sz w:val="24"/>
        </w:rPr>
        <w:t xml:space="preserve">Depuis les indépendances jusqu’aux années 1980, les diplômés étaient systématiquement recrutés dans la fonction publique ou dans les entreprises publiques. Malgré la privation des entreprises publiques et l’instauration du concours d’entrée à la fonction publique, les </w:t>
      </w:r>
      <w:r w:rsidR="0005524D" w:rsidRPr="006973B5">
        <w:rPr>
          <w:rFonts w:ascii="Times New Roman" w:hAnsi="Times New Roman" w:cs="Times New Roman"/>
          <w:sz w:val="24"/>
        </w:rPr>
        <w:t>mentalités n’ont pas toujours évolué. Les jeunes pensent toujours que travailler au compte de l’E</w:t>
      </w:r>
      <w:r w:rsidR="00CB11C4" w:rsidRPr="006973B5">
        <w:rPr>
          <w:rFonts w:ascii="Times New Roman" w:hAnsi="Times New Roman" w:cs="Times New Roman"/>
          <w:sz w:val="24"/>
        </w:rPr>
        <w:t xml:space="preserve">tat donne plus de garantie que </w:t>
      </w:r>
      <w:r w:rsidR="00FB25B4" w:rsidRPr="006973B5">
        <w:rPr>
          <w:rFonts w:ascii="Times New Roman" w:hAnsi="Times New Roman" w:cs="Times New Roman"/>
          <w:sz w:val="24"/>
        </w:rPr>
        <w:t xml:space="preserve">de travailler pour </w:t>
      </w:r>
      <w:r w:rsidR="00CB11C4" w:rsidRPr="006973B5">
        <w:rPr>
          <w:rFonts w:ascii="Times New Roman" w:hAnsi="Times New Roman" w:cs="Times New Roman"/>
          <w:sz w:val="24"/>
        </w:rPr>
        <w:t>le secteur privé. Il n’est pas rare de constater une forte affluence lors des concours d’entrée à la fonction publique</w:t>
      </w:r>
      <w:r w:rsidR="004673F8" w:rsidRPr="006973B5">
        <w:rPr>
          <w:rFonts w:ascii="Times New Roman" w:hAnsi="Times New Roman" w:cs="Times New Roman"/>
          <w:sz w:val="24"/>
        </w:rPr>
        <w:t>.</w:t>
      </w:r>
    </w:p>
    <w:p w:rsidR="008E06D0" w:rsidRPr="006973B5" w:rsidRDefault="008E06D0" w:rsidP="008E06D0"/>
    <w:p w:rsidR="00B62A99" w:rsidRPr="006973B5" w:rsidRDefault="00B62A99" w:rsidP="00B62A99">
      <w:pPr>
        <w:pStyle w:val="Lgende"/>
        <w:keepNext/>
        <w:spacing w:after="0"/>
        <w:rPr>
          <w:i w:val="0"/>
          <w:color w:val="auto"/>
          <w:sz w:val="20"/>
          <w:szCs w:val="20"/>
        </w:rPr>
      </w:pPr>
      <w:bookmarkStart w:id="47" w:name="_Toc514766326"/>
      <w:bookmarkStart w:id="48" w:name="_Toc516676464"/>
      <w:r w:rsidRPr="006973B5">
        <w:rPr>
          <w:i w:val="0"/>
          <w:color w:val="auto"/>
          <w:sz w:val="20"/>
          <w:szCs w:val="20"/>
        </w:rPr>
        <w:t xml:space="preserve">Tableau </w:t>
      </w:r>
      <w:r w:rsidR="00211B05" w:rsidRPr="006973B5">
        <w:rPr>
          <w:i w:val="0"/>
          <w:color w:val="auto"/>
          <w:sz w:val="20"/>
          <w:szCs w:val="20"/>
        </w:rPr>
        <w:fldChar w:fldCharType="begin"/>
      </w:r>
      <w:r w:rsidR="00211B05" w:rsidRPr="006973B5">
        <w:rPr>
          <w:i w:val="0"/>
          <w:color w:val="auto"/>
          <w:sz w:val="20"/>
          <w:szCs w:val="20"/>
        </w:rPr>
        <w:instrText xml:space="preserve"> SEQ Tableau \* ARABIC </w:instrText>
      </w:r>
      <w:r w:rsidR="00211B05" w:rsidRPr="006973B5">
        <w:rPr>
          <w:i w:val="0"/>
          <w:color w:val="auto"/>
          <w:sz w:val="20"/>
          <w:szCs w:val="20"/>
        </w:rPr>
        <w:fldChar w:fldCharType="separate"/>
      </w:r>
      <w:r w:rsidR="00211B05" w:rsidRPr="006973B5">
        <w:rPr>
          <w:i w:val="0"/>
          <w:noProof/>
          <w:color w:val="auto"/>
          <w:sz w:val="20"/>
          <w:szCs w:val="20"/>
        </w:rPr>
        <w:t>12</w:t>
      </w:r>
      <w:r w:rsidR="00211B05" w:rsidRPr="006973B5">
        <w:rPr>
          <w:i w:val="0"/>
          <w:color w:val="auto"/>
          <w:sz w:val="20"/>
          <w:szCs w:val="20"/>
        </w:rPr>
        <w:fldChar w:fldCharType="end"/>
      </w:r>
      <w:r w:rsidRPr="006973B5">
        <w:rPr>
          <w:i w:val="0"/>
          <w:color w:val="auto"/>
          <w:sz w:val="20"/>
          <w:szCs w:val="20"/>
        </w:rPr>
        <w:t>. Répartition des chômeurs du Mali suivant le sexe, le type de chômeur et le type d'employeur recherché</w:t>
      </w:r>
      <w:bookmarkEnd w:id="47"/>
      <w:bookmarkEnd w:id="48"/>
    </w:p>
    <w:tbl>
      <w:tblPr>
        <w:tblW w:w="9993" w:type="dxa"/>
        <w:tblCellMar>
          <w:left w:w="70" w:type="dxa"/>
          <w:right w:w="70" w:type="dxa"/>
        </w:tblCellMar>
        <w:tblLook w:val="04A0" w:firstRow="1" w:lastRow="0" w:firstColumn="1" w:lastColumn="0" w:noHBand="0" w:noVBand="1"/>
      </w:tblPr>
      <w:tblGrid>
        <w:gridCol w:w="1056"/>
        <w:gridCol w:w="1349"/>
        <w:gridCol w:w="1281"/>
        <w:gridCol w:w="988"/>
        <w:gridCol w:w="1006"/>
        <w:gridCol w:w="901"/>
        <w:gridCol w:w="644"/>
        <w:gridCol w:w="1023"/>
        <w:gridCol w:w="1023"/>
        <w:gridCol w:w="722"/>
      </w:tblGrid>
      <w:tr w:rsidR="00B62A99" w:rsidRPr="006973B5" w:rsidTr="007D0300">
        <w:trPr>
          <w:trHeight w:val="284"/>
        </w:trPr>
        <w:tc>
          <w:tcPr>
            <w:tcW w:w="24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 </w:t>
            </w:r>
          </w:p>
        </w:tc>
        <w:tc>
          <w:tcPr>
            <w:tcW w:w="7588" w:type="dxa"/>
            <w:gridSpan w:val="8"/>
            <w:tcBorders>
              <w:top w:val="single" w:sz="4" w:space="0" w:color="auto"/>
              <w:left w:val="nil"/>
              <w:bottom w:val="single" w:sz="4" w:space="0" w:color="auto"/>
              <w:right w:val="single" w:sz="4" w:space="0" w:color="auto"/>
            </w:tcBorders>
            <w:shd w:val="clear" w:color="auto" w:fill="auto"/>
            <w:vAlign w:val="bottom"/>
            <w:hideMark/>
          </w:tcPr>
          <w:p w:rsidR="00B62A99" w:rsidRPr="006973B5" w:rsidRDefault="00B62A99" w:rsidP="00B62A99">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Type d'employeur recherché</w:t>
            </w:r>
          </w:p>
        </w:tc>
      </w:tr>
      <w:tr w:rsidR="00B62A99" w:rsidRPr="006973B5" w:rsidTr="007D0300">
        <w:trPr>
          <w:trHeight w:val="284"/>
        </w:trPr>
        <w:tc>
          <w:tcPr>
            <w:tcW w:w="2405" w:type="dxa"/>
            <w:gridSpan w:val="2"/>
            <w:vMerge/>
            <w:tcBorders>
              <w:top w:val="single" w:sz="4" w:space="0" w:color="auto"/>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1281" w:type="dxa"/>
            <w:tcBorders>
              <w:top w:val="nil"/>
              <w:left w:val="nil"/>
              <w:bottom w:val="single" w:sz="4" w:space="0" w:color="auto"/>
              <w:right w:val="single" w:sz="4" w:space="0" w:color="auto"/>
            </w:tcBorders>
            <w:shd w:val="clear" w:color="auto" w:fill="auto"/>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Administration publique</w:t>
            </w:r>
          </w:p>
        </w:tc>
        <w:tc>
          <w:tcPr>
            <w:tcW w:w="988" w:type="dxa"/>
            <w:tcBorders>
              <w:top w:val="nil"/>
              <w:left w:val="nil"/>
              <w:bottom w:val="single" w:sz="4" w:space="0" w:color="auto"/>
              <w:right w:val="single" w:sz="4" w:space="0" w:color="auto"/>
            </w:tcBorders>
            <w:shd w:val="clear" w:color="auto" w:fill="auto"/>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Entreprise publique</w:t>
            </w:r>
          </w:p>
        </w:tc>
        <w:tc>
          <w:tcPr>
            <w:tcW w:w="1006" w:type="dxa"/>
            <w:tcBorders>
              <w:top w:val="nil"/>
              <w:left w:val="nil"/>
              <w:bottom w:val="single" w:sz="4" w:space="0" w:color="auto"/>
              <w:right w:val="single" w:sz="4" w:space="0" w:color="auto"/>
            </w:tcBorders>
            <w:shd w:val="clear" w:color="auto" w:fill="auto"/>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Société privée</w:t>
            </w:r>
          </w:p>
        </w:tc>
        <w:tc>
          <w:tcPr>
            <w:tcW w:w="901" w:type="dxa"/>
            <w:tcBorders>
              <w:top w:val="nil"/>
              <w:left w:val="nil"/>
              <w:bottom w:val="single" w:sz="4" w:space="0" w:color="auto"/>
              <w:right w:val="single" w:sz="4" w:space="0" w:color="auto"/>
            </w:tcBorders>
            <w:shd w:val="clear" w:color="auto" w:fill="auto"/>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PME/PMI</w:t>
            </w:r>
          </w:p>
        </w:tc>
        <w:tc>
          <w:tcPr>
            <w:tcW w:w="644" w:type="dxa"/>
            <w:tcBorders>
              <w:top w:val="nil"/>
              <w:left w:val="nil"/>
              <w:bottom w:val="single" w:sz="4" w:space="0" w:color="auto"/>
              <w:right w:val="single" w:sz="4" w:space="0" w:color="auto"/>
            </w:tcBorders>
            <w:shd w:val="clear" w:color="auto" w:fill="auto"/>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ONG</w:t>
            </w:r>
          </w:p>
        </w:tc>
        <w:tc>
          <w:tcPr>
            <w:tcW w:w="1023" w:type="dxa"/>
            <w:tcBorders>
              <w:top w:val="nil"/>
              <w:left w:val="nil"/>
              <w:bottom w:val="single" w:sz="4" w:space="0" w:color="auto"/>
              <w:right w:val="single" w:sz="4" w:space="0" w:color="auto"/>
            </w:tcBorders>
            <w:shd w:val="clear" w:color="auto" w:fill="auto"/>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Micro-entreprise</w:t>
            </w:r>
          </w:p>
        </w:tc>
        <w:tc>
          <w:tcPr>
            <w:tcW w:w="1023" w:type="dxa"/>
            <w:tcBorders>
              <w:top w:val="nil"/>
              <w:left w:val="nil"/>
              <w:bottom w:val="single" w:sz="4" w:space="0" w:color="auto"/>
              <w:right w:val="single" w:sz="4" w:space="0" w:color="auto"/>
            </w:tcBorders>
            <w:shd w:val="clear" w:color="auto" w:fill="auto"/>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Indifférent</w:t>
            </w:r>
          </w:p>
        </w:tc>
        <w:tc>
          <w:tcPr>
            <w:tcW w:w="722" w:type="dxa"/>
            <w:tcBorders>
              <w:top w:val="nil"/>
              <w:left w:val="nil"/>
              <w:bottom w:val="single" w:sz="4" w:space="0" w:color="auto"/>
              <w:right w:val="single" w:sz="4" w:space="0" w:color="auto"/>
            </w:tcBorders>
            <w:shd w:val="clear" w:color="auto" w:fill="auto"/>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Total</w:t>
            </w:r>
          </w:p>
        </w:tc>
      </w:tr>
      <w:tr w:rsidR="00B62A99" w:rsidRPr="006973B5" w:rsidTr="007D0300">
        <w:trPr>
          <w:trHeight w:val="284"/>
        </w:trPr>
        <w:tc>
          <w:tcPr>
            <w:tcW w:w="1056" w:type="dxa"/>
            <w:vMerge w:val="restart"/>
            <w:tcBorders>
              <w:top w:val="nil"/>
              <w:left w:val="single" w:sz="4" w:space="0" w:color="auto"/>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Sexe</w:t>
            </w:r>
          </w:p>
        </w:tc>
        <w:tc>
          <w:tcPr>
            <w:tcW w:w="1349" w:type="dxa"/>
            <w:tcBorders>
              <w:top w:val="nil"/>
              <w:left w:val="nil"/>
              <w:bottom w:val="single" w:sz="4" w:space="0" w:color="auto"/>
              <w:right w:val="single" w:sz="4" w:space="0" w:color="auto"/>
            </w:tcBorders>
            <w:shd w:val="clear" w:color="auto" w:fill="auto"/>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Masculin</w:t>
            </w:r>
          </w:p>
        </w:tc>
        <w:tc>
          <w:tcPr>
            <w:tcW w:w="128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3,5</w:t>
            </w:r>
          </w:p>
        </w:tc>
        <w:tc>
          <w:tcPr>
            <w:tcW w:w="98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2,3</w:t>
            </w:r>
          </w:p>
        </w:tc>
        <w:tc>
          <w:tcPr>
            <w:tcW w:w="100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2,5</w:t>
            </w:r>
          </w:p>
        </w:tc>
        <w:tc>
          <w:tcPr>
            <w:tcW w:w="90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0,2</w:t>
            </w:r>
          </w:p>
        </w:tc>
        <w:tc>
          <w:tcPr>
            <w:tcW w:w="64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0,4</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0,5</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90,7</w:t>
            </w:r>
          </w:p>
        </w:tc>
        <w:tc>
          <w:tcPr>
            <w:tcW w:w="72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7D0300">
        <w:trPr>
          <w:trHeight w:val="284"/>
        </w:trPr>
        <w:tc>
          <w:tcPr>
            <w:tcW w:w="1056"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1349" w:type="dxa"/>
            <w:tcBorders>
              <w:top w:val="nil"/>
              <w:left w:val="nil"/>
              <w:bottom w:val="single" w:sz="4" w:space="0" w:color="auto"/>
              <w:right w:val="single" w:sz="4" w:space="0" w:color="auto"/>
            </w:tcBorders>
            <w:shd w:val="clear" w:color="auto" w:fill="auto"/>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Féminin</w:t>
            </w:r>
          </w:p>
        </w:tc>
        <w:tc>
          <w:tcPr>
            <w:tcW w:w="128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3,2</w:t>
            </w:r>
          </w:p>
        </w:tc>
        <w:tc>
          <w:tcPr>
            <w:tcW w:w="98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2,2</w:t>
            </w:r>
          </w:p>
        </w:tc>
        <w:tc>
          <w:tcPr>
            <w:tcW w:w="100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1,3</w:t>
            </w:r>
          </w:p>
        </w:tc>
        <w:tc>
          <w:tcPr>
            <w:tcW w:w="90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64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0,4</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0,4</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92,5</w:t>
            </w:r>
          </w:p>
        </w:tc>
        <w:tc>
          <w:tcPr>
            <w:tcW w:w="72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7D0300">
        <w:trPr>
          <w:trHeight w:val="284"/>
        </w:trPr>
        <w:tc>
          <w:tcPr>
            <w:tcW w:w="1056" w:type="dxa"/>
            <w:vMerge w:val="restart"/>
            <w:tcBorders>
              <w:top w:val="nil"/>
              <w:left w:val="single" w:sz="4" w:space="0" w:color="auto"/>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Zone de résidence</w:t>
            </w:r>
          </w:p>
        </w:tc>
        <w:tc>
          <w:tcPr>
            <w:tcW w:w="1349" w:type="dxa"/>
            <w:tcBorders>
              <w:top w:val="nil"/>
              <w:left w:val="nil"/>
              <w:bottom w:val="single" w:sz="4" w:space="0" w:color="auto"/>
              <w:right w:val="single" w:sz="4" w:space="0" w:color="auto"/>
            </w:tcBorders>
            <w:shd w:val="clear" w:color="auto" w:fill="auto"/>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Bamako</w:t>
            </w:r>
          </w:p>
        </w:tc>
        <w:tc>
          <w:tcPr>
            <w:tcW w:w="128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9,8</w:t>
            </w:r>
          </w:p>
        </w:tc>
        <w:tc>
          <w:tcPr>
            <w:tcW w:w="98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11,1</w:t>
            </w:r>
          </w:p>
        </w:tc>
        <w:tc>
          <w:tcPr>
            <w:tcW w:w="100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1,8</w:t>
            </w:r>
          </w:p>
        </w:tc>
        <w:tc>
          <w:tcPr>
            <w:tcW w:w="90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64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77,3</w:t>
            </w:r>
          </w:p>
        </w:tc>
        <w:tc>
          <w:tcPr>
            <w:tcW w:w="72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7D0300">
        <w:trPr>
          <w:trHeight w:val="284"/>
        </w:trPr>
        <w:tc>
          <w:tcPr>
            <w:tcW w:w="1056"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1349" w:type="dxa"/>
            <w:tcBorders>
              <w:top w:val="nil"/>
              <w:left w:val="nil"/>
              <w:bottom w:val="single" w:sz="4" w:space="0" w:color="auto"/>
              <w:right w:val="single" w:sz="4" w:space="0" w:color="auto"/>
            </w:tcBorders>
            <w:shd w:val="clear" w:color="auto" w:fill="auto"/>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Autre urbain</w:t>
            </w:r>
          </w:p>
        </w:tc>
        <w:tc>
          <w:tcPr>
            <w:tcW w:w="128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4,1</w:t>
            </w:r>
          </w:p>
        </w:tc>
        <w:tc>
          <w:tcPr>
            <w:tcW w:w="98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2,0</w:t>
            </w:r>
          </w:p>
        </w:tc>
        <w:tc>
          <w:tcPr>
            <w:tcW w:w="100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7,4</w:t>
            </w:r>
          </w:p>
        </w:tc>
        <w:tc>
          <w:tcPr>
            <w:tcW w:w="90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0,2</w:t>
            </w:r>
          </w:p>
        </w:tc>
        <w:tc>
          <w:tcPr>
            <w:tcW w:w="64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0,4</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0,3</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85,5</w:t>
            </w:r>
          </w:p>
        </w:tc>
        <w:tc>
          <w:tcPr>
            <w:tcW w:w="72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7D0300">
        <w:trPr>
          <w:trHeight w:val="284"/>
        </w:trPr>
        <w:tc>
          <w:tcPr>
            <w:tcW w:w="1056"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1349" w:type="dxa"/>
            <w:tcBorders>
              <w:top w:val="nil"/>
              <w:left w:val="nil"/>
              <w:bottom w:val="single" w:sz="4" w:space="0" w:color="auto"/>
              <w:right w:val="single" w:sz="4" w:space="0" w:color="auto"/>
            </w:tcBorders>
            <w:shd w:val="clear" w:color="auto" w:fill="auto"/>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Rural</w:t>
            </w:r>
          </w:p>
        </w:tc>
        <w:tc>
          <w:tcPr>
            <w:tcW w:w="128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2,0</w:t>
            </w:r>
          </w:p>
        </w:tc>
        <w:tc>
          <w:tcPr>
            <w:tcW w:w="98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0,6</w:t>
            </w:r>
          </w:p>
        </w:tc>
        <w:tc>
          <w:tcPr>
            <w:tcW w:w="100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0,7</w:t>
            </w:r>
          </w:p>
        </w:tc>
        <w:tc>
          <w:tcPr>
            <w:tcW w:w="90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0,1</w:t>
            </w:r>
          </w:p>
        </w:tc>
        <w:tc>
          <w:tcPr>
            <w:tcW w:w="64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0,5</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0,5</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95,6</w:t>
            </w:r>
          </w:p>
        </w:tc>
        <w:tc>
          <w:tcPr>
            <w:tcW w:w="72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7D0300">
        <w:trPr>
          <w:trHeight w:val="284"/>
        </w:trPr>
        <w:tc>
          <w:tcPr>
            <w:tcW w:w="1056" w:type="dxa"/>
            <w:vMerge w:val="restart"/>
            <w:tcBorders>
              <w:top w:val="nil"/>
              <w:left w:val="single" w:sz="4" w:space="0" w:color="auto"/>
              <w:bottom w:val="single" w:sz="4" w:space="0" w:color="auto"/>
              <w:right w:val="single" w:sz="4" w:space="0" w:color="auto"/>
            </w:tcBorders>
            <w:shd w:val="clear" w:color="auto" w:fill="auto"/>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Niveau d'éducation</w:t>
            </w:r>
          </w:p>
        </w:tc>
        <w:tc>
          <w:tcPr>
            <w:tcW w:w="1349" w:type="dxa"/>
            <w:tcBorders>
              <w:top w:val="nil"/>
              <w:left w:val="nil"/>
              <w:bottom w:val="single" w:sz="4" w:space="0" w:color="auto"/>
              <w:right w:val="single" w:sz="4" w:space="0" w:color="auto"/>
            </w:tcBorders>
            <w:shd w:val="clear" w:color="auto" w:fill="auto"/>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Aucun niveau</w:t>
            </w:r>
          </w:p>
        </w:tc>
        <w:tc>
          <w:tcPr>
            <w:tcW w:w="128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0,1</w:t>
            </w:r>
          </w:p>
        </w:tc>
        <w:tc>
          <w:tcPr>
            <w:tcW w:w="98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0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1,2</w:t>
            </w:r>
          </w:p>
        </w:tc>
        <w:tc>
          <w:tcPr>
            <w:tcW w:w="90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64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0,6</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0,7</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97,4</w:t>
            </w:r>
          </w:p>
        </w:tc>
        <w:tc>
          <w:tcPr>
            <w:tcW w:w="72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7D0300">
        <w:trPr>
          <w:trHeight w:val="284"/>
        </w:trPr>
        <w:tc>
          <w:tcPr>
            <w:tcW w:w="1056"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1349" w:type="dxa"/>
            <w:tcBorders>
              <w:top w:val="nil"/>
              <w:left w:val="nil"/>
              <w:bottom w:val="single" w:sz="4" w:space="0" w:color="auto"/>
              <w:right w:val="single" w:sz="4" w:space="0" w:color="auto"/>
            </w:tcBorders>
            <w:shd w:val="clear" w:color="auto" w:fill="auto"/>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Primaire</w:t>
            </w:r>
          </w:p>
        </w:tc>
        <w:tc>
          <w:tcPr>
            <w:tcW w:w="128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3,0</w:t>
            </w:r>
          </w:p>
        </w:tc>
        <w:tc>
          <w:tcPr>
            <w:tcW w:w="98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2,3</w:t>
            </w:r>
          </w:p>
        </w:tc>
        <w:tc>
          <w:tcPr>
            <w:tcW w:w="100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2,7</w:t>
            </w:r>
          </w:p>
        </w:tc>
        <w:tc>
          <w:tcPr>
            <w:tcW w:w="90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0,3</w:t>
            </w:r>
          </w:p>
        </w:tc>
        <w:tc>
          <w:tcPr>
            <w:tcW w:w="64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0,2</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0,1</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91,4</w:t>
            </w:r>
          </w:p>
        </w:tc>
        <w:tc>
          <w:tcPr>
            <w:tcW w:w="72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7D0300">
        <w:trPr>
          <w:trHeight w:val="284"/>
        </w:trPr>
        <w:tc>
          <w:tcPr>
            <w:tcW w:w="1056"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1349" w:type="dxa"/>
            <w:tcBorders>
              <w:top w:val="nil"/>
              <w:left w:val="nil"/>
              <w:bottom w:val="single" w:sz="4" w:space="0" w:color="auto"/>
              <w:right w:val="single" w:sz="4" w:space="0" w:color="auto"/>
            </w:tcBorders>
            <w:shd w:val="clear" w:color="auto" w:fill="auto"/>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Secondaire</w:t>
            </w:r>
          </w:p>
        </w:tc>
        <w:tc>
          <w:tcPr>
            <w:tcW w:w="128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35,7</w:t>
            </w:r>
          </w:p>
        </w:tc>
        <w:tc>
          <w:tcPr>
            <w:tcW w:w="98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13,9</w:t>
            </w:r>
          </w:p>
        </w:tc>
        <w:tc>
          <w:tcPr>
            <w:tcW w:w="100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90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64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50,4</w:t>
            </w:r>
          </w:p>
        </w:tc>
        <w:tc>
          <w:tcPr>
            <w:tcW w:w="72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7D0300">
        <w:trPr>
          <w:trHeight w:val="284"/>
        </w:trPr>
        <w:tc>
          <w:tcPr>
            <w:tcW w:w="1056"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1349" w:type="dxa"/>
            <w:tcBorders>
              <w:top w:val="nil"/>
              <w:left w:val="nil"/>
              <w:bottom w:val="single" w:sz="4" w:space="0" w:color="auto"/>
              <w:right w:val="single" w:sz="4" w:space="0" w:color="auto"/>
            </w:tcBorders>
            <w:shd w:val="clear" w:color="auto" w:fill="auto"/>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Supérieur</w:t>
            </w:r>
          </w:p>
        </w:tc>
        <w:tc>
          <w:tcPr>
            <w:tcW w:w="128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20,4</w:t>
            </w:r>
          </w:p>
        </w:tc>
        <w:tc>
          <w:tcPr>
            <w:tcW w:w="98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47,3</w:t>
            </w:r>
          </w:p>
        </w:tc>
        <w:tc>
          <w:tcPr>
            <w:tcW w:w="100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10,5</w:t>
            </w:r>
          </w:p>
        </w:tc>
        <w:tc>
          <w:tcPr>
            <w:tcW w:w="90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64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21,8</w:t>
            </w:r>
          </w:p>
        </w:tc>
        <w:tc>
          <w:tcPr>
            <w:tcW w:w="72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r w:rsidR="00B62A99" w:rsidRPr="006973B5" w:rsidTr="007D0300">
        <w:trPr>
          <w:trHeight w:val="284"/>
        </w:trPr>
        <w:tc>
          <w:tcPr>
            <w:tcW w:w="1056" w:type="dxa"/>
            <w:vMerge/>
            <w:tcBorders>
              <w:top w:val="nil"/>
              <w:left w:val="single" w:sz="4" w:space="0" w:color="auto"/>
              <w:bottom w:val="single" w:sz="4" w:space="0" w:color="auto"/>
              <w:right w:val="single" w:sz="4" w:space="0" w:color="auto"/>
            </w:tcBorders>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p>
        </w:tc>
        <w:tc>
          <w:tcPr>
            <w:tcW w:w="1349" w:type="dxa"/>
            <w:tcBorders>
              <w:top w:val="nil"/>
              <w:left w:val="nil"/>
              <w:bottom w:val="single" w:sz="4" w:space="0" w:color="auto"/>
              <w:right w:val="single" w:sz="4" w:space="0" w:color="auto"/>
            </w:tcBorders>
            <w:shd w:val="clear" w:color="auto" w:fill="auto"/>
            <w:vAlign w:val="center"/>
            <w:hideMark/>
          </w:tcPr>
          <w:p w:rsidR="00B62A99" w:rsidRPr="006973B5" w:rsidRDefault="00B62A99" w:rsidP="00B62A99">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Total</w:t>
            </w:r>
          </w:p>
        </w:tc>
        <w:tc>
          <w:tcPr>
            <w:tcW w:w="128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3,3</w:t>
            </w:r>
          </w:p>
        </w:tc>
        <w:tc>
          <w:tcPr>
            <w:tcW w:w="988"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2,2</w:t>
            </w:r>
          </w:p>
        </w:tc>
        <w:tc>
          <w:tcPr>
            <w:tcW w:w="1006"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1,8</w:t>
            </w:r>
          </w:p>
        </w:tc>
        <w:tc>
          <w:tcPr>
            <w:tcW w:w="901"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0,1</w:t>
            </w:r>
          </w:p>
        </w:tc>
        <w:tc>
          <w:tcPr>
            <w:tcW w:w="644"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0,4</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0,4</w:t>
            </w:r>
          </w:p>
        </w:tc>
        <w:tc>
          <w:tcPr>
            <w:tcW w:w="1023"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91,7</w:t>
            </w:r>
          </w:p>
        </w:tc>
        <w:tc>
          <w:tcPr>
            <w:tcW w:w="722" w:type="dxa"/>
            <w:tcBorders>
              <w:top w:val="nil"/>
              <w:left w:val="nil"/>
              <w:bottom w:val="single" w:sz="4" w:space="0" w:color="auto"/>
              <w:right w:val="single" w:sz="4" w:space="0" w:color="auto"/>
            </w:tcBorders>
            <w:shd w:val="clear" w:color="auto" w:fill="auto"/>
            <w:noWrap/>
            <w:vAlign w:val="center"/>
            <w:hideMark/>
          </w:tcPr>
          <w:p w:rsidR="00B62A99" w:rsidRPr="006973B5" w:rsidRDefault="00B62A99" w:rsidP="00B62A99">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100,0</w:t>
            </w:r>
          </w:p>
        </w:tc>
      </w:tr>
    </w:tbl>
    <w:p w:rsidR="00B62A99" w:rsidRPr="006973B5" w:rsidRDefault="00B62A99" w:rsidP="00B62A99">
      <w:pPr>
        <w:spacing w:after="0"/>
        <w:rPr>
          <w:rFonts w:ascii="Times New Roman" w:hAnsi="Times New Roman" w:cs="Times New Roman"/>
          <w:sz w:val="20"/>
          <w:szCs w:val="20"/>
        </w:rPr>
      </w:pPr>
      <w:r w:rsidRPr="006973B5">
        <w:rPr>
          <w:rFonts w:ascii="Times New Roman" w:hAnsi="Times New Roman" w:cs="Times New Roman"/>
          <w:sz w:val="20"/>
          <w:szCs w:val="20"/>
        </w:rPr>
        <w:t>Source : Calcul de l’ONEF à partir des données de l’EMOP 2017</w:t>
      </w:r>
    </w:p>
    <w:p w:rsidR="00AA2E74" w:rsidRPr="006973B5" w:rsidRDefault="00AA2E74" w:rsidP="00124A20">
      <w:pPr>
        <w:autoSpaceDE w:val="0"/>
        <w:autoSpaceDN w:val="0"/>
        <w:adjustRightInd w:val="0"/>
        <w:spacing w:after="0" w:line="276" w:lineRule="auto"/>
        <w:jc w:val="both"/>
        <w:rPr>
          <w:rFonts w:ascii="Times New Roman" w:hAnsi="Times New Roman" w:cs="Times New Roman"/>
          <w:sz w:val="24"/>
          <w:szCs w:val="24"/>
        </w:rPr>
      </w:pPr>
    </w:p>
    <w:p w:rsidR="0072030E" w:rsidRPr="006973B5" w:rsidRDefault="004673F8" w:rsidP="00124A20">
      <w:pPr>
        <w:autoSpaceDE w:val="0"/>
        <w:autoSpaceDN w:val="0"/>
        <w:adjustRightInd w:val="0"/>
        <w:spacing w:after="0" w:line="276" w:lineRule="auto"/>
        <w:jc w:val="both"/>
        <w:rPr>
          <w:rFonts w:ascii="Times New Roman" w:hAnsi="Times New Roman" w:cs="Times New Roman"/>
          <w:sz w:val="24"/>
          <w:szCs w:val="24"/>
        </w:rPr>
      </w:pPr>
      <w:r w:rsidRPr="006973B5">
        <w:rPr>
          <w:rFonts w:ascii="Times New Roman" w:hAnsi="Times New Roman" w:cs="Times New Roman"/>
          <w:sz w:val="24"/>
          <w:szCs w:val="24"/>
        </w:rPr>
        <w:t xml:space="preserve">Le taux d’inscription des demandeurs d’emplois auprès des structures chargées de l’intermédiation est très fable. En 2017, seulement 0,5% des jeunes chômeurs se sont inscrits à l’Agence Nationale Pour l’Emploi (ANPE) et auprès des bureaux privés de placement. Nous constatons que le taux d’inscription dépasse largement la moyenne chez les jeunes avec le niveau d’éducation supérieur (14,2%) et pour ceux qui ont le niveau d’éducation secondaire (6,0%). </w:t>
      </w:r>
      <w:r w:rsidR="00605159" w:rsidRPr="006973B5">
        <w:rPr>
          <w:rFonts w:ascii="Times New Roman" w:hAnsi="Times New Roman" w:cs="Times New Roman"/>
          <w:sz w:val="24"/>
          <w:szCs w:val="24"/>
        </w:rPr>
        <w:t>Cette situation montre que le système d’information sur le marché de l’emploi est faible et que le marché de l’emploi est très peu transparent</w:t>
      </w:r>
      <w:r w:rsidR="006635BE" w:rsidRPr="006973B5">
        <w:rPr>
          <w:rFonts w:ascii="Times New Roman" w:hAnsi="Times New Roman" w:cs="Times New Roman"/>
          <w:sz w:val="24"/>
          <w:szCs w:val="24"/>
        </w:rPr>
        <w:t xml:space="preserve">. Ceci rappelle l’acuité de la problématique du Système d’Information sur le Marché du Travail (SIMT) et lève le voile sur les défis qui restent à lever en termes d’information et de communication autour des institutions en charge de l’emploi, en particulier l’ANPE. Les données de </w:t>
      </w:r>
      <w:r w:rsidR="00AD4D0A">
        <w:rPr>
          <w:rFonts w:ascii="Times New Roman" w:hAnsi="Times New Roman" w:cs="Times New Roman"/>
          <w:sz w:val="24"/>
          <w:szCs w:val="24"/>
        </w:rPr>
        <w:t>l’</w:t>
      </w:r>
      <w:r w:rsidR="006635BE" w:rsidRPr="006973B5">
        <w:rPr>
          <w:rFonts w:ascii="Times New Roman" w:hAnsi="Times New Roman" w:cs="Times New Roman"/>
          <w:sz w:val="24"/>
          <w:szCs w:val="24"/>
        </w:rPr>
        <w:t xml:space="preserve">EMOP 2017 montrent que 85,6% des jeunes chômeurs </w:t>
      </w:r>
      <w:r w:rsidR="00124A20" w:rsidRPr="006973B5">
        <w:rPr>
          <w:rFonts w:ascii="Times New Roman" w:hAnsi="Times New Roman" w:cs="Times New Roman"/>
          <w:sz w:val="24"/>
          <w:szCs w:val="24"/>
        </w:rPr>
        <w:t xml:space="preserve">déclarent ne pas connaître l’ANPE. </w:t>
      </w:r>
    </w:p>
    <w:p w:rsidR="0072030E" w:rsidRPr="006973B5" w:rsidRDefault="0072030E" w:rsidP="00124A20">
      <w:pPr>
        <w:autoSpaceDE w:val="0"/>
        <w:autoSpaceDN w:val="0"/>
        <w:adjustRightInd w:val="0"/>
        <w:spacing w:after="0" w:line="276" w:lineRule="auto"/>
        <w:jc w:val="both"/>
        <w:rPr>
          <w:rFonts w:ascii="Times New Roman" w:hAnsi="Times New Roman" w:cs="Times New Roman"/>
          <w:sz w:val="24"/>
          <w:szCs w:val="24"/>
        </w:rPr>
      </w:pPr>
    </w:p>
    <w:p w:rsidR="00124A20" w:rsidRPr="006973B5" w:rsidRDefault="00124A20" w:rsidP="00124A20">
      <w:pPr>
        <w:autoSpaceDE w:val="0"/>
        <w:autoSpaceDN w:val="0"/>
        <w:adjustRightInd w:val="0"/>
        <w:spacing w:after="0" w:line="276" w:lineRule="auto"/>
        <w:jc w:val="both"/>
        <w:rPr>
          <w:rFonts w:ascii="Times New Roman" w:hAnsi="Times New Roman" w:cs="Times New Roman"/>
          <w:sz w:val="24"/>
          <w:szCs w:val="24"/>
        </w:rPr>
      </w:pPr>
      <w:r w:rsidRPr="006973B5">
        <w:rPr>
          <w:rFonts w:ascii="Times New Roman" w:hAnsi="Times New Roman" w:cs="Times New Roman"/>
          <w:sz w:val="24"/>
          <w:szCs w:val="24"/>
        </w:rPr>
        <w:t xml:space="preserve">Environ 55% des jeunes de niveau d’éducation supérieur ne pense pas que l’ANPE pourrait les aider à trouver un emploi. Cette appréhension des demandeurs d’emplois constitue un </w:t>
      </w:r>
      <w:r w:rsidR="004E35F5" w:rsidRPr="006973B5">
        <w:rPr>
          <w:rFonts w:ascii="Times New Roman" w:hAnsi="Times New Roman" w:cs="Times New Roman"/>
          <w:sz w:val="24"/>
          <w:szCs w:val="24"/>
        </w:rPr>
        <w:t>obstacle majeur</w:t>
      </w:r>
      <w:r w:rsidRPr="006973B5">
        <w:rPr>
          <w:rFonts w:ascii="Times New Roman" w:hAnsi="Times New Roman" w:cs="Times New Roman"/>
          <w:sz w:val="24"/>
          <w:szCs w:val="24"/>
        </w:rPr>
        <w:t xml:space="preserve"> à leur insertion socioprofessionnelle dans la mesure où l’inscription comme demandeur d’emploi peut ouvrir la porte à des opportunités de formation et à la possession de la carte de demandeur d’emploi qui est un outil important aujourd’hui dans la recherche d’un emploi</w:t>
      </w:r>
    </w:p>
    <w:p w:rsidR="004673F8" w:rsidRPr="006973B5" w:rsidRDefault="004673F8" w:rsidP="004673F8">
      <w:pPr>
        <w:autoSpaceDE w:val="0"/>
        <w:autoSpaceDN w:val="0"/>
        <w:adjustRightInd w:val="0"/>
        <w:spacing w:after="0" w:line="276" w:lineRule="auto"/>
        <w:jc w:val="both"/>
        <w:rPr>
          <w:rFonts w:ascii="Times New Roman" w:hAnsi="Times New Roman" w:cs="Times New Roman"/>
          <w:sz w:val="24"/>
          <w:szCs w:val="24"/>
        </w:rPr>
      </w:pPr>
    </w:p>
    <w:p w:rsidR="00AD4D0A" w:rsidRDefault="00AD4D0A">
      <w:pPr>
        <w:rPr>
          <w:rFonts w:ascii="Times New Roman" w:eastAsia="Times New Roman" w:hAnsi="Times New Roman" w:cs="Times New Roman"/>
          <w:iCs/>
          <w:sz w:val="20"/>
          <w:szCs w:val="20"/>
          <w:lang w:eastAsia="fr-FR"/>
        </w:rPr>
      </w:pPr>
      <w:r>
        <w:rPr>
          <w:i/>
          <w:sz w:val="20"/>
          <w:szCs w:val="20"/>
        </w:rPr>
        <w:br w:type="page"/>
      </w:r>
    </w:p>
    <w:p w:rsidR="009020FF" w:rsidRPr="006973B5" w:rsidRDefault="009020FF" w:rsidP="009020FF">
      <w:pPr>
        <w:pStyle w:val="Lgende"/>
        <w:keepNext/>
        <w:spacing w:after="0"/>
        <w:rPr>
          <w:i w:val="0"/>
          <w:color w:val="auto"/>
          <w:sz w:val="20"/>
          <w:szCs w:val="20"/>
        </w:rPr>
      </w:pPr>
      <w:bookmarkStart w:id="49" w:name="_Toc516676465"/>
      <w:r w:rsidRPr="006973B5">
        <w:rPr>
          <w:i w:val="0"/>
          <w:color w:val="auto"/>
          <w:sz w:val="20"/>
          <w:szCs w:val="20"/>
        </w:rPr>
        <w:lastRenderedPageBreak/>
        <w:t xml:space="preserve">Tableau </w:t>
      </w:r>
      <w:r w:rsidR="00211B05" w:rsidRPr="006973B5">
        <w:rPr>
          <w:i w:val="0"/>
          <w:color w:val="auto"/>
          <w:sz w:val="20"/>
          <w:szCs w:val="20"/>
        </w:rPr>
        <w:fldChar w:fldCharType="begin"/>
      </w:r>
      <w:r w:rsidR="00211B05" w:rsidRPr="006973B5">
        <w:rPr>
          <w:i w:val="0"/>
          <w:color w:val="auto"/>
          <w:sz w:val="20"/>
          <w:szCs w:val="20"/>
        </w:rPr>
        <w:instrText xml:space="preserve"> SEQ Tableau \* ARABIC </w:instrText>
      </w:r>
      <w:r w:rsidR="00211B05" w:rsidRPr="006973B5">
        <w:rPr>
          <w:i w:val="0"/>
          <w:color w:val="auto"/>
          <w:sz w:val="20"/>
          <w:szCs w:val="20"/>
        </w:rPr>
        <w:fldChar w:fldCharType="separate"/>
      </w:r>
      <w:r w:rsidR="00211B05" w:rsidRPr="006973B5">
        <w:rPr>
          <w:i w:val="0"/>
          <w:noProof/>
          <w:color w:val="auto"/>
          <w:sz w:val="20"/>
          <w:szCs w:val="20"/>
        </w:rPr>
        <w:t>13</w:t>
      </w:r>
      <w:r w:rsidR="00211B05" w:rsidRPr="006973B5">
        <w:rPr>
          <w:i w:val="0"/>
          <w:color w:val="auto"/>
          <w:sz w:val="20"/>
          <w:szCs w:val="20"/>
        </w:rPr>
        <w:fldChar w:fldCharType="end"/>
      </w:r>
      <w:r w:rsidRPr="006973B5">
        <w:rPr>
          <w:i w:val="0"/>
          <w:color w:val="auto"/>
          <w:sz w:val="20"/>
          <w:szCs w:val="20"/>
        </w:rPr>
        <w:t>. Proportion des chômeurs inscrits dans les bureaux de placement selon les caractéristiques sociodémographiques</w:t>
      </w:r>
      <w:bookmarkEnd w:id="49"/>
    </w:p>
    <w:tbl>
      <w:tblPr>
        <w:tblW w:w="9989" w:type="dxa"/>
        <w:tblCellMar>
          <w:left w:w="70" w:type="dxa"/>
          <w:right w:w="70" w:type="dxa"/>
        </w:tblCellMar>
        <w:tblLook w:val="04A0" w:firstRow="1" w:lastRow="0" w:firstColumn="1" w:lastColumn="0" w:noHBand="0" w:noVBand="1"/>
      </w:tblPr>
      <w:tblGrid>
        <w:gridCol w:w="2089"/>
        <w:gridCol w:w="1562"/>
        <w:gridCol w:w="1056"/>
        <w:gridCol w:w="1056"/>
        <w:gridCol w:w="1057"/>
        <w:gridCol w:w="1056"/>
        <w:gridCol w:w="1056"/>
        <w:gridCol w:w="1057"/>
      </w:tblGrid>
      <w:tr w:rsidR="009020FF" w:rsidRPr="006973B5" w:rsidTr="00247128">
        <w:trPr>
          <w:trHeight w:val="226"/>
        </w:trPr>
        <w:tc>
          <w:tcPr>
            <w:tcW w:w="36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20FF" w:rsidRPr="006973B5" w:rsidRDefault="009020FF" w:rsidP="00BB51EF">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 </w:t>
            </w:r>
          </w:p>
        </w:tc>
        <w:tc>
          <w:tcPr>
            <w:tcW w:w="3169" w:type="dxa"/>
            <w:gridSpan w:val="3"/>
            <w:tcBorders>
              <w:top w:val="single" w:sz="4" w:space="0" w:color="auto"/>
              <w:left w:val="nil"/>
              <w:bottom w:val="single" w:sz="4" w:space="0" w:color="auto"/>
              <w:right w:val="single" w:sz="4" w:space="0" w:color="auto"/>
            </w:tcBorders>
            <w:shd w:val="clear" w:color="auto" w:fill="auto"/>
            <w:vAlign w:val="center"/>
            <w:hideMark/>
          </w:tcPr>
          <w:p w:rsidR="009020FF" w:rsidRPr="006973B5" w:rsidRDefault="009020FF" w:rsidP="00BB51EF">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 chômeurs inscrits à ANPE</w:t>
            </w:r>
          </w:p>
        </w:tc>
        <w:tc>
          <w:tcPr>
            <w:tcW w:w="3169" w:type="dxa"/>
            <w:gridSpan w:val="3"/>
            <w:tcBorders>
              <w:top w:val="single" w:sz="4" w:space="0" w:color="auto"/>
              <w:left w:val="nil"/>
              <w:bottom w:val="single" w:sz="4" w:space="0" w:color="auto"/>
              <w:right w:val="single" w:sz="4" w:space="0" w:color="auto"/>
            </w:tcBorders>
            <w:shd w:val="clear" w:color="auto" w:fill="auto"/>
            <w:vAlign w:val="center"/>
            <w:hideMark/>
          </w:tcPr>
          <w:p w:rsidR="009020FF" w:rsidRPr="006973B5" w:rsidRDefault="009020FF" w:rsidP="00BB51EF">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 chômeurs inscrits aux BPP/ETT</w:t>
            </w:r>
          </w:p>
        </w:tc>
      </w:tr>
      <w:tr w:rsidR="009020FF" w:rsidRPr="006973B5" w:rsidTr="004337BD">
        <w:trPr>
          <w:trHeight w:val="226"/>
        </w:trPr>
        <w:tc>
          <w:tcPr>
            <w:tcW w:w="3651" w:type="dxa"/>
            <w:gridSpan w:val="2"/>
            <w:vMerge/>
            <w:tcBorders>
              <w:top w:val="single" w:sz="4" w:space="0" w:color="auto"/>
              <w:left w:val="single" w:sz="4" w:space="0" w:color="auto"/>
              <w:bottom w:val="single" w:sz="4" w:space="0" w:color="auto"/>
              <w:right w:val="single" w:sz="4" w:space="0" w:color="auto"/>
            </w:tcBorders>
            <w:vAlign w:val="center"/>
            <w:hideMark/>
          </w:tcPr>
          <w:p w:rsidR="009020FF" w:rsidRPr="006973B5" w:rsidRDefault="009020FF" w:rsidP="00BB51EF">
            <w:pPr>
              <w:spacing w:after="0" w:line="240" w:lineRule="auto"/>
              <w:rPr>
                <w:rFonts w:ascii="Times New Roman" w:eastAsia="Times New Roman" w:hAnsi="Times New Roman" w:cs="Times New Roman"/>
                <w:color w:val="000000"/>
                <w:sz w:val="18"/>
                <w:szCs w:val="18"/>
                <w:lang w:eastAsia="fr-FR"/>
              </w:rPr>
            </w:pPr>
          </w:p>
        </w:tc>
        <w:tc>
          <w:tcPr>
            <w:tcW w:w="1056" w:type="dxa"/>
            <w:tcBorders>
              <w:top w:val="nil"/>
              <w:left w:val="nil"/>
              <w:bottom w:val="single" w:sz="4" w:space="0" w:color="auto"/>
              <w:right w:val="single" w:sz="4" w:space="0" w:color="auto"/>
            </w:tcBorders>
            <w:shd w:val="clear" w:color="auto" w:fill="auto"/>
            <w:vAlign w:val="center"/>
            <w:hideMark/>
          </w:tcPr>
          <w:p w:rsidR="009020FF" w:rsidRPr="006973B5" w:rsidRDefault="009020FF" w:rsidP="00BB51EF">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Masculin</w:t>
            </w:r>
          </w:p>
        </w:tc>
        <w:tc>
          <w:tcPr>
            <w:tcW w:w="1056" w:type="dxa"/>
            <w:tcBorders>
              <w:top w:val="nil"/>
              <w:left w:val="nil"/>
              <w:bottom w:val="single" w:sz="4" w:space="0" w:color="auto"/>
              <w:right w:val="single" w:sz="4" w:space="0" w:color="auto"/>
            </w:tcBorders>
            <w:shd w:val="clear" w:color="auto" w:fill="auto"/>
            <w:vAlign w:val="center"/>
            <w:hideMark/>
          </w:tcPr>
          <w:p w:rsidR="009020FF" w:rsidRPr="006973B5" w:rsidRDefault="009020FF" w:rsidP="00BB51EF">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Féminin</w:t>
            </w:r>
          </w:p>
        </w:tc>
        <w:tc>
          <w:tcPr>
            <w:tcW w:w="1057" w:type="dxa"/>
            <w:tcBorders>
              <w:top w:val="nil"/>
              <w:left w:val="nil"/>
              <w:bottom w:val="single" w:sz="4" w:space="0" w:color="auto"/>
              <w:right w:val="single" w:sz="4" w:space="0" w:color="auto"/>
            </w:tcBorders>
            <w:shd w:val="clear" w:color="auto" w:fill="auto"/>
            <w:vAlign w:val="center"/>
            <w:hideMark/>
          </w:tcPr>
          <w:p w:rsidR="009020FF" w:rsidRPr="006973B5" w:rsidRDefault="009020FF" w:rsidP="00BB51EF">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Total</w:t>
            </w:r>
          </w:p>
        </w:tc>
        <w:tc>
          <w:tcPr>
            <w:tcW w:w="1056" w:type="dxa"/>
            <w:tcBorders>
              <w:top w:val="nil"/>
              <w:left w:val="nil"/>
              <w:bottom w:val="single" w:sz="4" w:space="0" w:color="auto"/>
              <w:right w:val="single" w:sz="4" w:space="0" w:color="auto"/>
            </w:tcBorders>
            <w:shd w:val="clear" w:color="auto" w:fill="auto"/>
            <w:vAlign w:val="center"/>
            <w:hideMark/>
          </w:tcPr>
          <w:p w:rsidR="009020FF" w:rsidRPr="006973B5" w:rsidRDefault="009020FF" w:rsidP="00BB51EF">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Masculin</w:t>
            </w:r>
          </w:p>
        </w:tc>
        <w:tc>
          <w:tcPr>
            <w:tcW w:w="1056" w:type="dxa"/>
            <w:tcBorders>
              <w:top w:val="nil"/>
              <w:left w:val="nil"/>
              <w:bottom w:val="single" w:sz="4" w:space="0" w:color="auto"/>
              <w:right w:val="single" w:sz="4" w:space="0" w:color="auto"/>
            </w:tcBorders>
            <w:shd w:val="clear" w:color="auto" w:fill="auto"/>
            <w:vAlign w:val="center"/>
            <w:hideMark/>
          </w:tcPr>
          <w:p w:rsidR="009020FF" w:rsidRPr="006973B5" w:rsidRDefault="009020FF" w:rsidP="00BB51EF">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Féminin</w:t>
            </w:r>
          </w:p>
        </w:tc>
        <w:tc>
          <w:tcPr>
            <w:tcW w:w="1057" w:type="dxa"/>
            <w:tcBorders>
              <w:top w:val="nil"/>
              <w:left w:val="nil"/>
              <w:bottom w:val="single" w:sz="4" w:space="0" w:color="auto"/>
              <w:right w:val="single" w:sz="4" w:space="0" w:color="auto"/>
            </w:tcBorders>
            <w:shd w:val="clear" w:color="auto" w:fill="auto"/>
            <w:vAlign w:val="center"/>
            <w:hideMark/>
          </w:tcPr>
          <w:p w:rsidR="009020FF" w:rsidRPr="006973B5" w:rsidRDefault="009020FF" w:rsidP="00BB51EF">
            <w:pPr>
              <w:spacing w:after="0" w:line="240" w:lineRule="auto"/>
              <w:jc w:val="center"/>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Total</w:t>
            </w:r>
          </w:p>
        </w:tc>
      </w:tr>
      <w:tr w:rsidR="009020FF" w:rsidRPr="006973B5" w:rsidTr="004337BD">
        <w:trPr>
          <w:trHeight w:val="226"/>
        </w:trPr>
        <w:tc>
          <w:tcPr>
            <w:tcW w:w="2089" w:type="dxa"/>
            <w:vMerge w:val="restart"/>
            <w:tcBorders>
              <w:top w:val="nil"/>
              <w:left w:val="single" w:sz="4" w:space="0" w:color="auto"/>
              <w:bottom w:val="single" w:sz="4" w:space="0" w:color="auto"/>
              <w:right w:val="single" w:sz="4" w:space="0" w:color="auto"/>
            </w:tcBorders>
            <w:shd w:val="clear" w:color="auto" w:fill="auto"/>
            <w:vAlign w:val="center"/>
            <w:hideMark/>
          </w:tcPr>
          <w:p w:rsidR="009020FF" w:rsidRPr="006973B5" w:rsidRDefault="009020FF" w:rsidP="00BB51EF">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Zone de résidence</w:t>
            </w:r>
          </w:p>
        </w:tc>
        <w:tc>
          <w:tcPr>
            <w:tcW w:w="1562" w:type="dxa"/>
            <w:tcBorders>
              <w:top w:val="nil"/>
              <w:left w:val="nil"/>
              <w:bottom w:val="single" w:sz="4" w:space="0" w:color="auto"/>
              <w:right w:val="single" w:sz="4" w:space="0" w:color="auto"/>
            </w:tcBorders>
            <w:shd w:val="clear" w:color="auto" w:fill="auto"/>
            <w:vAlign w:val="center"/>
            <w:hideMark/>
          </w:tcPr>
          <w:p w:rsidR="009020FF" w:rsidRPr="006973B5" w:rsidRDefault="009020FF" w:rsidP="00BB51EF">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Bamako</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7"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7"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r>
      <w:tr w:rsidR="009020FF" w:rsidRPr="006973B5" w:rsidTr="004337BD">
        <w:trPr>
          <w:trHeight w:val="226"/>
        </w:trPr>
        <w:tc>
          <w:tcPr>
            <w:tcW w:w="2089" w:type="dxa"/>
            <w:vMerge/>
            <w:tcBorders>
              <w:top w:val="nil"/>
              <w:left w:val="single" w:sz="4" w:space="0" w:color="auto"/>
              <w:bottom w:val="single" w:sz="4" w:space="0" w:color="auto"/>
              <w:right w:val="single" w:sz="4" w:space="0" w:color="auto"/>
            </w:tcBorders>
            <w:vAlign w:val="center"/>
            <w:hideMark/>
          </w:tcPr>
          <w:p w:rsidR="009020FF" w:rsidRPr="006973B5" w:rsidRDefault="009020FF" w:rsidP="00BB51EF">
            <w:pPr>
              <w:spacing w:after="0" w:line="240" w:lineRule="auto"/>
              <w:rPr>
                <w:rFonts w:ascii="Times New Roman" w:eastAsia="Times New Roman" w:hAnsi="Times New Roman" w:cs="Times New Roman"/>
                <w:color w:val="000000"/>
                <w:sz w:val="18"/>
                <w:szCs w:val="18"/>
                <w:lang w:eastAsia="fr-FR"/>
              </w:rPr>
            </w:pPr>
          </w:p>
        </w:tc>
        <w:tc>
          <w:tcPr>
            <w:tcW w:w="1562" w:type="dxa"/>
            <w:tcBorders>
              <w:top w:val="nil"/>
              <w:left w:val="nil"/>
              <w:bottom w:val="single" w:sz="4" w:space="0" w:color="auto"/>
              <w:right w:val="single" w:sz="4" w:space="0" w:color="auto"/>
            </w:tcBorders>
            <w:shd w:val="clear" w:color="auto" w:fill="auto"/>
            <w:vAlign w:val="center"/>
            <w:hideMark/>
          </w:tcPr>
          <w:p w:rsidR="009020FF" w:rsidRPr="006973B5" w:rsidRDefault="009020FF" w:rsidP="00BB51EF">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Autre urbain</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1,2</w:t>
            </w:r>
          </w:p>
        </w:tc>
        <w:tc>
          <w:tcPr>
            <w:tcW w:w="1057"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0,7</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0,9</w:t>
            </w:r>
          </w:p>
        </w:tc>
        <w:tc>
          <w:tcPr>
            <w:tcW w:w="1057"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0,5</w:t>
            </w:r>
          </w:p>
        </w:tc>
      </w:tr>
      <w:tr w:rsidR="009020FF" w:rsidRPr="006973B5" w:rsidTr="004337BD">
        <w:trPr>
          <w:trHeight w:val="226"/>
        </w:trPr>
        <w:tc>
          <w:tcPr>
            <w:tcW w:w="2089" w:type="dxa"/>
            <w:vMerge/>
            <w:tcBorders>
              <w:top w:val="nil"/>
              <w:left w:val="single" w:sz="4" w:space="0" w:color="auto"/>
              <w:bottom w:val="single" w:sz="4" w:space="0" w:color="auto"/>
              <w:right w:val="single" w:sz="4" w:space="0" w:color="auto"/>
            </w:tcBorders>
            <w:vAlign w:val="center"/>
            <w:hideMark/>
          </w:tcPr>
          <w:p w:rsidR="009020FF" w:rsidRPr="006973B5" w:rsidRDefault="009020FF" w:rsidP="00BB51EF">
            <w:pPr>
              <w:spacing w:after="0" w:line="240" w:lineRule="auto"/>
              <w:rPr>
                <w:rFonts w:ascii="Times New Roman" w:eastAsia="Times New Roman" w:hAnsi="Times New Roman" w:cs="Times New Roman"/>
                <w:color w:val="000000"/>
                <w:sz w:val="18"/>
                <w:szCs w:val="18"/>
                <w:lang w:eastAsia="fr-FR"/>
              </w:rPr>
            </w:pPr>
          </w:p>
        </w:tc>
        <w:tc>
          <w:tcPr>
            <w:tcW w:w="1562" w:type="dxa"/>
            <w:tcBorders>
              <w:top w:val="nil"/>
              <w:left w:val="nil"/>
              <w:bottom w:val="single" w:sz="4" w:space="0" w:color="auto"/>
              <w:right w:val="single" w:sz="4" w:space="0" w:color="auto"/>
            </w:tcBorders>
            <w:shd w:val="clear" w:color="auto" w:fill="auto"/>
            <w:vAlign w:val="center"/>
            <w:hideMark/>
          </w:tcPr>
          <w:p w:rsidR="009020FF" w:rsidRPr="006973B5" w:rsidRDefault="009020FF" w:rsidP="00BB51EF">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Rural</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0,5</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0,6</w:t>
            </w:r>
          </w:p>
        </w:tc>
        <w:tc>
          <w:tcPr>
            <w:tcW w:w="1057"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0,5</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1,0</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7"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0,5</w:t>
            </w:r>
          </w:p>
        </w:tc>
      </w:tr>
      <w:tr w:rsidR="009020FF" w:rsidRPr="006973B5" w:rsidTr="004337BD">
        <w:trPr>
          <w:trHeight w:val="226"/>
        </w:trPr>
        <w:tc>
          <w:tcPr>
            <w:tcW w:w="2089" w:type="dxa"/>
            <w:vMerge w:val="restart"/>
            <w:tcBorders>
              <w:top w:val="nil"/>
              <w:left w:val="single" w:sz="4" w:space="0" w:color="auto"/>
              <w:bottom w:val="single" w:sz="4" w:space="0" w:color="auto"/>
              <w:right w:val="single" w:sz="4" w:space="0" w:color="auto"/>
            </w:tcBorders>
            <w:shd w:val="clear" w:color="auto" w:fill="auto"/>
            <w:vAlign w:val="center"/>
            <w:hideMark/>
          </w:tcPr>
          <w:p w:rsidR="009020FF" w:rsidRPr="006973B5" w:rsidRDefault="009020FF" w:rsidP="00BB51EF">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Niveau d'éducation</w:t>
            </w:r>
          </w:p>
        </w:tc>
        <w:tc>
          <w:tcPr>
            <w:tcW w:w="1562" w:type="dxa"/>
            <w:tcBorders>
              <w:top w:val="nil"/>
              <w:left w:val="nil"/>
              <w:bottom w:val="single" w:sz="4" w:space="0" w:color="auto"/>
              <w:right w:val="single" w:sz="4" w:space="0" w:color="auto"/>
            </w:tcBorders>
            <w:shd w:val="clear" w:color="auto" w:fill="auto"/>
            <w:vAlign w:val="center"/>
            <w:hideMark/>
          </w:tcPr>
          <w:p w:rsidR="009020FF" w:rsidRPr="006973B5" w:rsidRDefault="009020FF" w:rsidP="00BB51EF">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Aucun niveau</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7"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7"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r>
      <w:tr w:rsidR="009020FF" w:rsidRPr="006973B5" w:rsidTr="004337BD">
        <w:trPr>
          <w:trHeight w:val="226"/>
        </w:trPr>
        <w:tc>
          <w:tcPr>
            <w:tcW w:w="2089" w:type="dxa"/>
            <w:vMerge/>
            <w:tcBorders>
              <w:top w:val="nil"/>
              <w:left w:val="single" w:sz="4" w:space="0" w:color="auto"/>
              <w:bottom w:val="single" w:sz="4" w:space="0" w:color="auto"/>
              <w:right w:val="single" w:sz="4" w:space="0" w:color="auto"/>
            </w:tcBorders>
            <w:vAlign w:val="center"/>
            <w:hideMark/>
          </w:tcPr>
          <w:p w:rsidR="009020FF" w:rsidRPr="006973B5" w:rsidRDefault="009020FF" w:rsidP="00BB51EF">
            <w:pPr>
              <w:spacing w:after="0" w:line="240" w:lineRule="auto"/>
              <w:rPr>
                <w:rFonts w:ascii="Times New Roman" w:eastAsia="Times New Roman" w:hAnsi="Times New Roman" w:cs="Times New Roman"/>
                <w:color w:val="000000"/>
                <w:sz w:val="18"/>
                <w:szCs w:val="18"/>
                <w:lang w:eastAsia="fr-FR"/>
              </w:rPr>
            </w:pPr>
          </w:p>
        </w:tc>
        <w:tc>
          <w:tcPr>
            <w:tcW w:w="1562" w:type="dxa"/>
            <w:tcBorders>
              <w:top w:val="nil"/>
              <w:left w:val="nil"/>
              <w:bottom w:val="single" w:sz="4" w:space="0" w:color="auto"/>
              <w:right w:val="single" w:sz="4" w:space="0" w:color="auto"/>
            </w:tcBorders>
            <w:shd w:val="clear" w:color="auto" w:fill="auto"/>
            <w:vAlign w:val="center"/>
            <w:hideMark/>
          </w:tcPr>
          <w:p w:rsidR="009020FF" w:rsidRPr="006973B5" w:rsidRDefault="009020FF" w:rsidP="00BB51EF">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Primaire</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7"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1,9</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7"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0,9</w:t>
            </w:r>
          </w:p>
        </w:tc>
      </w:tr>
      <w:tr w:rsidR="009020FF" w:rsidRPr="006973B5" w:rsidTr="004337BD">
        <w:trPr>
          <w:trHeight w:val="226"/>
        </w:trPr>
        <w:tc>
          <w:tcPr>
            <w:tcW w:w="2089" w:type="dxa"/>
            <w:vMerge/>
            <w:tcBorders>
              <w:top w:val="nil"/>
              <w:left w:val="single" w:sz="4" w:space="0" w:color="auto"/>
              <w:bottom w:val="single" w:sz="4" w:space="0" w:color="auto"/>
              <w:right w:val="single" w:sz="4" w:space="0" w:color="auto"/>
            </w:tcBorders>
            <w:vAlign w:val="center"/>
            <w:hideMark/>
          </w:tcPr>
          <w:p w:rsidR="009020FF" w:rsidRPr="006973B5" w:rsidRDefault="009020FF" w:rsidP="00BB51EF">
            <w:pPr>
              <w:spacing w:after="0" w:line="240" w:lineRule="auto"/>
              <w:rPr>
                <w:rFonts w:ascii="Times New Roman" w:eastAsia="Times New Roman" w:hAnsi="Times New Roman" w:cs="Times New Roman"/>
                <w:color w:val="000000"/>
                <w:sz w:val="18"/>
                <w:szCs w:val="18"/>
                <w:lang w:eastAsia="fr-FR"/>
              </w:rPr>
            </w:pPr>
          </w:p>
        </w:tc>
        <w:tc>
          <w:tcPr>
            <w:tcW w:w="1562" w:type="dxa"/>
            <w:tcBorders>
              <w:top w:val="nil"/>
              <w:left w:val="nil"/>
              <w:bottom w:val="single" w:sz="4" w:space="0" w:color="auto"/>
              <w:right w:val="single" w:sz="4" w:space="0" w:color="auto"/>
            </w:tcBorders>
            <w:shd w:val="clear" w:color="auto" w:fill="auto"/>
            <w:vAlign w:val="center"/>
            <w:hideMark/>
          </w:tcPr>
          <w:p w:rsidR="009020FF" w:rsidRPr="006973B5" w:rsidRDefault="009020FF" w:rsidP="00BB51EF">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Secondaire</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11,4</w:t>
            </w:r>
          </w:p>
        </w:tc>
        <w:tc>
          <w:tcPr>
            <w:tcW w:w="1057"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6,0</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2,9</w:t>
            </w:r>
          </w:p>
        </w:tc>
        <w:tc>
          <w:tcPr>
            <w:tcW w:w="1057"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1,5</w:t>
            </w:r>
          </w:p>
        </w:tc>
      </w:tr>
      <w:tr w:rsidR="009020FF" w:rsidRPr="006973B5" w:rsidTr="004337BD">
        <w:trPr>
          <w:trHeight w:val="226"/>
        </w:trPr>
        <w:tc>
          <w:tcPr>
            <w:tcW w:w="2089" w:type="dxa"/>
            <w:vMerge/>
            <w:tcBorders>
              <w:top w:val="nil"/>
              <w:left w:val="single" w:sz="4" w:space="0" w:color="auto"/>
              <w:bottom w:val="single" w:sz="4" w:space="0" w:color="auto"/>
              <w:right w:val="single" w:sz="4" w:space="0" w:color="auto"/>
            </w:tcBorders>
            <w:vAlign w:val="center"/>
            <w:hideMark/>
          </w:tcPr>
          <w:p w:rsidR="009020FF" w:rsidRPr="006973B5" w:rsidRDefault="009020FF" w:rsidP="00BB51EF">
            <w:pPr>
              <w:spacing w:after="0" w:line="240" w:lineRule="auto"/>
              <w:rPr>
                <w:rFonts w:ascii="Times New Roman" w:eastAsia="Times New Roman" w:hAnsi="Times New Roman" w:cs="Times New Roman"/>
                <w:color w:val="000000"/>
                <w:sz w:val="18"/>
                <w:szCs w:val="18"/>
                <w:lang w:eastAsia="fr-FR"/>
              </w:rPr>
            </w:pPr>
          </w:p>
        </w:tc>
        <w:tc>
          <w:tcPr>
            <w:tcW w:w="1562" w:type="dxa"/>
            <w:tcBorders>
              <w:top w:val="nil"/>
              <w:left w:val="nil"/>
              <w:bottom w:val="single" w:sz="4" w:space="0" w:color="auto"/>
              <w:right w:val="single" w:sz="4" w:space="0" w:color="auto"/>
            </w:tcBorders>
            <w:shd w:val="clear" w:color="auto" w:fill="auto"/>
            <w:vAlign w:val="center"/>
            <w:hideMark/>
          </w:tcPr>
          <w:p w:rsidR="009020FF" w:rsidRPr="006973B5" w:rsidRDefault="009020FF" w:rsidP="00BB51EF">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Supérieur</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30,9</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3,1</w:t>
            </w:r>
          </w:p>
        </w:tc>
        <w:tc>
          <w:tcPr>
            <w:tcW w:w="1057"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14,2</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c>
          <w:tcPr>
            <w:tcW w:w="1057"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0,0</w:t>
            </w:r>
          </w:p>
        </w:tc>
      </w:tr>
      <w:tr w:rsidR="009020FF" w:rsidRPr="006973B5" w:rsidTr="004337BD">
        <w:trPr>
          <w:trHeight w:val="226"/>
        </w:trPr>
        <w:tc>
          <w:tcPr>
            <w:tcW w:w="2089" w:type="dxa"/>
            <w:vMerge/>
            <w:tcBorders>
              <w:top w:val="nil"/>
              <w:left w:val="single" w:sz="4" w:space="0" w:color="auto"/>
              <w:bottom w:val="single" w:sz="4" w:space="0" w:color="auto"/>
              <w:right w:val="single" w:sz="4" w:space="0" w:color="auto"/>
            </w:tcBorders>
            <w:vAlign w:val="center"/>
            <w:hideMark/>
          </w:tcPr>
          <w:p w:rsidR="009020FF" w:rsidRPr="006973B5" w:rsidRDefault="009020FF" w:rsidP="00BB51EF">
            <w:pPr>
              <w:spacing w:after="0" w:line="240" w:lineRule="auto"/>
              <w:rPr>
                <w:rFonts w:ascii="Times New Roman" w:eastAsia="Times New Roman" w:hAnsi="Times New Roman" w:cs="Times New Roman"/>
                <w:color w:val="000000"/>
                <w:sz w:val="18"/>
                <w:szCs w:val="18"/>
                <w:lang w:eastAsia="fr-FR"/>
              </w:rPr>
            </w:pPr>
          </w:p>
        </w:tc>
        <w:tc>
          <w:tcPr>
            <w:tcW w:w="1562" w:type="dxa"/>
            <w:tcBorders>
              <w:top w:val="nil"/>
              <w:left w:val="nil"/>
              <w:bottom w:val="single" w:sz="4" w:space="0" w:color="auto"/>
              <w:right w:val="single" w:sz="4" w:space="0" w:color="auto"/>
            </w:tcBorders>
            <w:shd w:val="clear" w:color="auto" w:fill="auto"/>
            <w:vAlign w:val="center"/>
            <w:hideMark/>
          </w:tcPr>
          <w:p w:rsidR="009020FF" w:rsidRPr="006973B5" w:rsidRDefault="009020FF" w:rsidP="00BB51EF">
            <w:pPr>
              <w:spacing w:after="0" w:line="240" w:lineRule="auto"/>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Total</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0,4</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0,6</w:t>
            </w:r>
          </w:p>
        </w:tc>
        <w:tc>
          <w:tcPr>
            <w:tcW w:w="1057"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0,5</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0,8</w:t>
            </w:r>
          </w:p>
        </w:tc>
        <w:tc>
          <w:tcPr>
            <w:tcW w:w="1056"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0,1</w:t>
            </w:r>
          </w:p>
        </w:tc>
        <w:tc>
          <w:tcPr>
            <w:tcW w:w="1057" w:type="dxa"/>
            <w:tcBorders>
              <w:top w:val="nil"/>
              <w:left w:val="nil"/>
              <w:bottom w:val="single" w:sz="4" w:space="0" w:color="auto"/>
              <w:right w:val="single" w:sz="4" w:space="0" w:color="auto"/>
            </w:tcBorders>
            <w:shd w:val="clear" w:color="auto" w:fill="auto"/>
            <w:noWrap/>
            <w:vAlign w:val="center"/>
            <w:hideMark/>
          </w:tcPr>
          <w:p w:rsidR="009020FF" w:rsidRPr="006973B5" w:rsidRDefault="009020FF" w:rsidP="00BB51EF">
            <w:pPr>
              <w:spacing w:after="0" w:line="240" w:lineRule="auto"/>
              <w:jc w:val="right"/>
              <w:rPr>
                <w:rFonts w:ascii="Times New Roman" w:eastAsia="Times New Roman" w:hAnsi="Times New Roman" w:cs="Times New Roman"/>
                <w:color w:val="000000"/>
                <w:sz w:val="18"/>
                <w:szCs w:val="18"/>
                <w:lang w:eastAsia="fr-FR"/>
              </w:rPr>
            </w:pPr>
            <w:r w:rsidRPr="006973B5">
              <w:rPr>
                <w:rFonts w:ascii="Times New Roman" w:eastAsia="Times New Roman" w:hAnsi="Times New Roman" w:cs="Times New Roman"/>
                <w:color w:val="000000"/>
                <w:sz w:val="18"/>
                <w:szCs w:val="18"/>
                <w:lang w:eastAsia="fr-FR"/>
              </w:rPr>
              <w:t>0,5</w:t>
            </w:r>
          </w:p>
        </w:tc>
      </w:tr>
    </w:tbl>
    <w:p w:rsidR="009020FF" w:rsidRPr="006973B5" w:rsidRDefault="009020FF" w:rsidP="009020FF">
      <w:pPr>
        <w:spacing w:after="0"/>
        <w:rPr>
          <w:rFonts w:ascii="Times New Roman" w:hAnsi="Times New Roman" w:cs="Times New Roman"/>
          <w:sz w:val="20"/>
          <w:szCs w:val="20"/>
        </w:rPr>
      </w:pPr>
      <w:r w:rsidRPr="006973B5">
        <w:rPr>
          <w:rFonts w:ascii="Times New Roman" w:hAnsi="Times New Roman" w:cs="Times New Roman"/>
          <w:sz w:val="20"/>
          <w:szCs w:val="20"/>
        </w:rPr>
        <w:t>Source : Calcul de l’ONEF à partir des données de l’EMOP 2017</w:t>
      </w:r>
    </w:p>
    <w:p w:rsidR="00B62A99" w:rsidRPr="006973B5" w:rsidRDefault="00B62A99" w:rsidP="00B62A99">
      <w:pPr>
        <w:rPr>
          <w:lang w:eastAsia="fr-FR"/>
        </w:rPr>
      </w:pPr>
    </w:p>
    <w:p w:rsidR="00AD4D0A" w:rsidRDefault="00AD4D0A">
      <w:pPr>
        <w:rPr>
          <w:rFonts w:ascii="Times New Roman" w:eastAsia="Times New Roman" w:hAnsi="Times New Roman" w:cs="Times New Roman"/>
          <w:b/>
          <w:sz w:val="32"/>
          <w:szCs w:val="32"/>
          <w:lang w:eastAsia="fr-FR"/>
        </w:rPr>
      </w:pPr>
      <w:bookmarkStart w:id="50" w:name="_Toc511311786"/>
      <w:r>
        <w:rPr>
          <w:rFonts w:ascii="Times New Roman" w:eastAsia="Times New Roman" w:hAnsi="Times New Roman" w:cs="Times New Roman"/>
          <w:b/>
          <w:lang w:eastAsia="fr-FR"/>
        </w:rPr>
        <w:br w:type="page"/>
      </w:r>
    </w:p>
    <w:p w:rsidR="00E42400" w:rsidRPr="006973B5" w:rsidRDefault="00E42400" w:rsidP="00937EDF">
      <w:pPr>
        <w:pStyle w:val="Titre1"/>
        <w:numPr>
          <w:ilvl w:val="0"/>
          <w:numId w:val="14"/>
        </w:numPr>
        <w:rPr>
          <w:rFonts w:ascii="Times New Roman" w:eastAsia="Times New Roman" w:hAnsi="Times New Roman" w:cs="Times New Roman"/>
          <w:b/>
          <w:color w:val="auto"/>
          <w:lang w:eastAsia="fr-FR"/>
        </w:rPr>
      </w:pPr>
      <w:bookmarkStart w:id="51" w:name="_Toc516676422"/>
      <w:r w:rsidRPr="006973B5">
        <w:rPr>
          <w:rFonts w:ascii="Times New Roman" w:eastAsia="Times New Roman" w:hAnsi="Times New Roman" w:cs="Times New Roman"/>
          <w:b/>
          <w:color w:val="auto"/>
          <w:lang w:eastAsia="fr-FR"/>
        </w:rPr>
        <w:lastRenderedPageBreak/>
        <w:t>Position relative des jeunes sur le marché du travail</w:t>
      </w:r>
      <w:bookmarkEnd w:id="50"/>
      <w:bookmarkEnd w:id="51"/>
    </w:p>
    <w:p w:rsidR="00E42400" w:rsidRPr="006973B5" w:rsidRDefault="00E42400" w:rsidP="00E42400">
      <w:pPr>
        <w:spacing w:after="0"/>
        <w:rPr>
          <w:rFonts w:ascii="Times New Roman" w:eastAsia="Times New Roman" w:hAnsi="Times New Roman" w:cs="Times New Roman"/>
          <w:color w:val="000000"/>
          <w:sz w:val="20"/>
          <w:szCs w:val="20"/>
          <w:lang w:eastAsia="fr-FR"/>
        </w:rPr>
      </w:pPr>
    </w:p>
    <w:p w:rsidR="00A25964" w:rsidRPr="006973B5" w:rsidRDefault="00A25964" w:rsidP="00237501">
      <w:pPr>
        <w:autoSpaceDE w:val="0"/>
        <w:autoSpaceDN w:val="0"/>
        <w:adjustRightInd w:val="0"/>
        <w:spacing w:after="0" w:line="276" w:lineRule="auto"/>
        <w:jc w:val="both"/>
        <w:rPr>
          <w:rFonts w:ascii="Times New Roman" w:hAnsi="Times New Roman" w:cs="Times New Roman"/>
          <w:sz w:val="24"/>
        </w:rPr>
      </w:pPr>
      <w:r w:rsidRPr="006973B5">
        <w:rPr>
          <w:rFonts w:ascii="Times New Roman" w:hAnsi="Times New Roman" w:cs="Times New Roman"/>
          <w:sz w:val="24"/>
        </w:rPr>
        <w:t xml:space="preserve">Dans de nombreux pays, les jeunes sont près de trois fois plus exposés </w:t>
      </w:r>
      <w:r w:rsidR="00237501" w:rsidRPr="006973B5">
        <w:rPr>
          <w:rFonts w:ascii="Times New Roman" w:hAnsi="Times New Roman" w:cs="Times New Roman"/>
          <w:sz w:val="24"/>
        </w:rPr>
        <w:t xml:space="preserve">au chômage que les adultes. </w:t>
      </w:r>
    </w:p>
    <w:p w:rsidR="002F5464" w:rsidRPr="006973B5" w:rsidRDefault="00A73210" w:rsidP="002F5464">
      <w:pPr>
        <w:spacing w:after="0"/>
        <w:jc w:val="both"/>
        <w:rPr>
          <w:rFonts w:ascii="Times New Roman" w:hAnsi="Times New Roman" w:cs="Times New Roman"/>
          <w:sz w:val="24"/>
        </w:rPr>
      </w:pPr>
      <w:r w:rsidRPr="006973B5">
        <w:rPr>
          <w:rFonts w:ascii="Times New Roman" w:hAnsi="Times New Roman" w:cs="Times New Roman"/>
          <w:sz w:val="24"/>
        </w:rPr>
        <w:t xml:space="preserve">Ceci </w:t>
      </w:r>
      <w:r w:rsidR="005142DA" w:rsidRPr="006973B5">
        <w:rPr>
          <w:rFonts w:ascii="Times New Roman" w:hAnsi="Times New Roman" w:cs="Times New Roman"/>
          <w:sz w:val="24"/>
        </w:rPr>
        <w:t>s’explique souvent</w:t>
      </w:r>
      <w:r w:rsidR="002F5464" w:rsidRPr="006973B5">
        <w:rPr>
          <w:rFonts w:ascii="Times New Roman" w:hAnsi="Times New Roman" w:cs="Times New Roman"/>
          <w:sz w:val="24"/>
        </w:rPr>
        <w:t xml:space="preserve"> par le fait qu’une </w:t>
      </w:r>
      <w:r w:rsidR="002F5464" w:rsidRPr="006973B5">
        <w:rPr>
          <w:rFonts w:ascii="Times New Roman" w:hAnsi="Times New Roman" w:cs="Times New Roman"/>
          <w:bCs/>
          <w:sz w:val="24"/>
        </w:rPr>
        <w:t>expérience professionnelle est requise</w:t>
      </w:r>
      <w:r w:rsidR="002F5464" w:rsidRPr="006973B5">
        <w:rPr>
          <w:rFonts w:ascii="Times New Roman" w:hAnsi="Times New Roman" w:cs="Times New Roman"/>
          <w:sz w:val="24"/>
        </w:rPr>
        <w:t xml:space="preserve"> dans la majorité des emplois proposés. Pour acquérir cette expérience, les jeunes sont contraints de passer par le </w:t>
      </w:r>
      <w:r w:rsidR="002F5464" w:rsidRPr="006973B5">
        <w:rPr>
          <w:rFonts w:ascii="Times New Roman" w:hAnsi="Times New Roman" w:cs="Times New Roman"/>
          <w:bCs/>
          <w:sz w:val="24"/>
        </w:rPr>
        <w:t>travail précaire</w:t>
      </w:r>
      <w:r w:rsidR="002F5464" w:rsidRPr="006973B5">
        <w:rPr>
          <w:rFonts w:ascii="Times New Roman" w:hAnsi="Times New Roman" w:cs="Times New Roman"/>
          <w:sz w:val="24"/>
        </w:rPr>
        <w:t xml:space="preserve"> (contrat </w:t>
      </w:r>
      <w:r w:rsidR="005142DA" w:rsidRPr="006973B5">
        <w:rPr>
          <w:rFonts w:ascii="Times New Roman" w:hAnsi="Times New Roman" w:cs="Times New Roman"/>
          <w:sz w:val="24"/>
        </w:rPr>
        <w:t>à durée déterminée, stage, etc..</w:t>
      </w:r>
      <w:r w:rsidR="002F5464" w:rsidRPr="006973B5">
        <w:rPr>
          <w:rFonts w:ascii="Times New Roman" w:hAnsi="Times New Roman" w:cs="Times New Roman"/>
          <w:sz w:val="24"/>
        </w:rPr>
        <w:t>).</w:t>
      </w:r>
      <w:r w:rsidR="005142DA" w:rsidRPr="006973B5">
        <w:rPr>
          <w:rFonts w:ascii="Times New Roman" w:hAnsi="Times New Roman" w:cs="Times New Roman"/>
          <w:sz w:val="24"/>
        </w:rPr>
        <w:t xml:space="preserve"> </w:t>
      </w:r>
      <w:r w:rsidR="00DC1258" w:rsidRPr="006973B5">
        <w:rPr>
          <w:rFonts w:ascii="Times New Roman" w:hAnsi="Times New Roman" w:cs="Times New Roman"/>
          <w:sz w:val="24"/>
        </w:rPr>
        <w:t>D</w:t>
      </w:r>
      <w:r w:rsidR="005142DA" w:rsidRPr="006973B5">
        <w:rPr>
          <w:rFonts w:ascii="Times New Roman" w:hAnsi="Times New Roman" w:cs="Times New Roman"/>
          <w:sz w:val="24"/>
        </w:rPr>
        <w:t xml:space="preserve">ans ce chapitre, nous allons </w:t>
      </w:r>
      <w:r w:rsidR="00DC1258" w:rsidRPr="006973B5">
        <w:rPr>
          <w:rFonts w:ascii="Times New Roman" w:hAnsi="Times New Roman" w:cs="Times New Roman"/>
          <w:sz w:val="24"/>
        </w:rPr>
        <w:t xml:space="preserve">faire une analyse comparative du profil des jeunes et des adultes sur le marché du travail, suivant certaines caractéristiques sociodémographiques. </w:t>
      </w:r>
    </w:p>
    <w:p w:rsidR="002F5464" w:rsidRPr="006973B5" w:rsidRDefault="002F5464" w:rsidP="00E42400">
      <w:pPr>
        <w:spacing w:after="0"/>
        <w:rPr>
          <w:rFonts w:ascii="Times New Roman" w:eastAsia="Times New Roman" w:hAnsi="Times New Roman" w:cs="Times New Roman"/>
          <w:color w:val="000000"/>
          <w:sz w:val="20"/>
          <w:szCs w:val="20"/>
          <w:lang w:eastAsia="fr-FR"/>
        </w:rPr>
      </w:pPr>
    </w:p>
    <w:p w:rsidR="00E42400" w:rsidRPr="006973B5" w:rsidRDefault="00E42400" w:rsidP="00937EDF">
      <w:pPr>
        <w:pStyle w:val="Titre2"/>
        <w:numPr>
          <w:ilvl w:val="1"/>
          <w:numId w:val="14"/>
        </w:numPr>
        <w:rPr>
          <w:rFonts w:ascii="Times New Roman" w:hAnsi="Times New Roman" w:cs="Times New Roman"/>
          <w:b/>
          <w:color w:val="auto"/>
        </w:rPr>
      </w:pPr>
      <w:bookmarkStart w:id="52" w:name="_Toc511311787"/>
      <w:bookmarkStart w:id="53" w:name="_Toc516676423"/>
      <w:r w:rsidRPr="006973B5">
        <w:rPr>
          <w:rFonts w:ascii="Times New Roman" w:hAnsi="Times New Roman" w:cs="Times New Roman"/>
          <w:b/>
          <w:color w:val="auto"/>
        </w:rPr>
        <w:t>Caractéristiques des jeunes/adultes sur le marché du travail</w:t>
      </w:r>
      <w:bookmarkEnd w:id="52"/>
      <w:bookmarkEnd w:id="53"/>
    </w:p>
    <w:p w:rsidR="0072030E" w:rsidRPr="006973B5" w:rsidRDefault="0072030E" w:rsidP="00180771">
      <w:pPr>
        <w:spacing w:after="0"/>
        <w:jc w:val="both"/>
        <w:rPr>
          <w:rFonts w:ascii="Times New Roman" w:hAnsi="Times New Roman" w:cs="Times New Roman"/>
          <w:sz w:val="24"/>
        </w:rPr>
      </w:pPr>
    </w:p>
    <w:p w:rsidR="00A73210" w:rsidRPr="006973B5" w:rsidRDefault="00D85BE3" w:rsidP="00180771">
      <w:pPr>
        <w:spacing w:after="0"/>
        <w:jc w:val="both"/>
        <w:rPr>
          <w:rFonts w:ascii="Times New Roman" w:hAnsi="Times New Roman" w:cs="Times New Roman"/>
          <w:sz w:val="24"/>
        </w:rPr>
      </w:pPr>
      <w:r w:rsidRPr="006973B5">
        <w:rPr>
          <w:rFonts w:ascii="Times New Roman" w:hAnsi="Times New Roman" w:cs="Times New Roman"/>
          <w:sz w:val="24"/>
        </w:rPr>
        <w:t xml:space="preserve">Tout comme la </w:t>
      </w:r>
      <w:r w:rsidR="00CA67FB" w:rsidRPr="006973B5">
        <w:rPr>
          <w:rFonts w:ascii="Times New Roman" w:hAnsi="Times New Roman" w:cs="Times New Roman"/>
          <w:sz w:val="24"/>
        </w:rPr>
        <w:t>plupart</w:t>
      </w:r>
      <w:r w:rsidRPr="006973B5">
        <w:rPr>
          <w:rFonts w:ascii="Times New Roman" w:hAnsi="Times New Roman" w:cs="Times New Roman"/>
          <w:sz w:val="24"/>
        </w:rPr>
        <w:t xml:space="preserve"> des pays, le chômage des jeunes est plus important que celui des adultes.</w:t>
      </w:r>
      <w:r w:rsidR="00A73210" w:rsidRPr="006973B5">
        <w:rPr>
          <w:rFonts w:ascii="Times New Roman" w:hAnsi="Times New Roman" w:cs="Times New Roman"/>
          <w:sz w:val="24"/>
        </w:rPr>
        <w:t xml:space="preserve"> En effet, en 2017, le taux de chômage des jeunes dépasse plus de 4 fois celui des adultes (21,9% contre 4,5%). L’écart demeure important quelque la région, le milieu de résidence et le niveau d’étude.</w:t>
      </w:r>
    </w:p>
    <w:p w:rsidR="00A73210" w:rsidRPr="006973B5" w:rsidRDefault="00A73210" w:rsidP="00180771">
      <w:pPr>
        <w:spacing w:after="0"/>
        <w:jc w:val="both"/>
        <w:rPr>
          <w:rFonts w:ascii="Times New Roman" w:hAnsi="Times New Roman" w:cs="Times New Roman"/>
          <w:sz w:val="20"/>
        </w:rPr>
      </w:pPr>
    </w:p>
    <w:p w:rsidR="00A73210" w:rsidRPr="006973B5" w:rsidRDefault="00A73210" w:rsidP="00180771">
      <w:pPr>
        <w:spacing w:after="0"/>
        <w:jc w:val="both"/>
        <w:rPr>
          <w:rFonts w:ascii="Times New Roman" w:hAnsi="Times New Roman" w:cs="Times New Roman"/>
          <w:sz w:val="24"/>
        </w:rPr>
      </w:pPr>
      <w:r w:rsidRPr="006973B5">
        <w:rPr>
          <w:rFonts w:ascii="Times New Roman" w:hAnsi="Times New Roman" w:cs="Times New Roman"/>
          <w:sz w:val="24"/>
        </w:rPr>
        <w:t>Au niveau de la région de Mopti, le chômage des jeunes</w:t>
      </w:r>
      <w:r w:rsidR="00CA67FB" w:rsidRPr="006973B5">
        <w:rPr>
          <w:rFonts w:ascii="Times New Roman" w:hAnsi="Times New Roman" w:cs="Times New Roman"/>
          <w:sz w:val="24"/>
        </w:rPr>
        <w:t xml:space="preserve"> est </w:t>
      </w:r>
      <w:r w:rsidRPr="006973B5">
        <w:rPr>
          <w:rFonts w:ascii="Times New Roman" w:hAnsi="Times New Roman" w:cs="Times New Roman"/>
          <w:sz w:val="24"/>
        </w:rPr>
        <w:t xml:space="preserve">17 fois plus important que celui des adultes. Cette situation est très préoccupante dans cette localité où l’insécurité devient de plus en plus grandissante.  </w:t>
      </w:r>
      <w:r w:rsidR="00237501" w:rsidRPr="006973B5">
        <w:rPr>
          <w:rFonts w:ascii="Times New Roman" w:hAnsi="Times New Roman" w:cs="Times New Roman"/>
          <w:sz w:val="24"/>
        </w:rPr>
        <w:t>Ces jeunes pourront être enrôlés par les mouvements terroristes</w:t>
      </w:r>
      <w:r w:rsidR="00F06128" w:rsidRPr="006973B5">
        <w:rPr>
          <w:rFonts w:ascii="Times New Roman" w:hAnsi="Times New Roman" w:cs="Times New Roman"/>
          <w:sz w:val="24"/>
        </w:rPr>
        <w:t xml:space="preserve">. </w:t>
      </w:r>
    </w:p>
    <w:p w:rsidR="00F06128" w:rsidRPr="006973B5" w:rsidRDefault="00F06128" w:rsidP="00180771">
      <w:pPr>
        <w:jc w:val="both"/>
        <w:rPr>
          <w:rFonts w:ascii="Times New Roman" w:hAnsi="Times New Roman" w:cs="Times New Roman"/>
          <w:b/>
          <w:bCs/>
          <w:iCs/>
          <w:sz w:val="6"/>
          <w:szCs w:val="20"/>
        </w:rPr>
      </w:pPr>
    </w:p>
    <w:p w:rsidR="00F06128" w:rsidRPr="006973B5" w:rsidRDefault="00F06128" w:rsidP="00180771">
      <w:pPr>
        <w:jc w:val="both"/>
        <w:rPr>
          <w:rFonts w:ascii="Times New Roman" w:hAnsi="Times New Roman" w:cs="Times New Roman"/>
          <w:sz w:val="24"/>
        </w:rPr>
      </w:pPr>
      <w:r w:rsidRPr="006973B5">
        <w:rPr>
          <w:rFonts w:ascii="Times New Roman" w:hAnsi="Times New Roman" w:cs="Times New Roman"/>
          <w:sz w:val="24"/>
        </w:rPr>
        <w:t xml:space="preserve">Dans la région de Gao, pendant que 67,4% de la population active jeune étaient touchés par le chômage, seulement 20,5% des actifs adultes étaient en situation de chômage en 2017. </w:t>
      </w:r>
    </w:p>
    <w:p w:rsidR="00E42400" w:rsidRPr="006973B5" w:rsidRDefault="00E42400" w:rsidP="00E42400">
      <w:pPr>
        <w:spacing w:after="0"/>
        <w:rPr>
          <w:rFonts w:ascii="Times New Roman" w:hAnsi="Times New Roman" w:cs="Times New Roman"/>
          <w:sz w:val="20"/>
          <w:szCs w:val="20"/>
        </w:rPr>
      </w:pPr>
      <w:bookmarkStart w:id="54" w:name="_Toc511310951"/>
      <w:bookmarkStart w:id="55" w:name="_Toc516676466"/>
      <w:r w:rsidRPr="006973B5">
        <w:rPr>
          <w:rFonts w:ascii="Times New Roman" w:hAnsi="Times New Roman" w:cs="Times New Roman"/>
          <w:bCs/>
          <w:i/>
          <w:iCs/>
          <w:sz w:val="20"/>
          <w:szCs w:val="20"/>
        </w:rPr>
        <w:t xml:space="preserve">Tableau </w:t>
      </w:r>
      <w:r w:rsidR="00211B05" w:rsidRPr="006973B5">
        <w:rPr>
          <w:rFonts w:ascii="Times New Roman" w:hAnsi="Times New Roman" w:cs="Times New Roman"/>
          <w:bCs/>
          <w:i/>
          <w:iCs/>
          <w:sz w:val="20"/>
          <w:szCs w:val="20"/>
        </w:rPr>
        <w:fldChar w:fldCharType="begin"/>
      </w:r>
      <w:r w:rsidR="00211B05" w:rsidRPr="006973B5">
        <w:rPr>
          <w:rFonts w:ascii="Times New Roman" w:hAnsi="Times New Roman" w:cs="Times New Roman"/>
          <w:bCs/>
          <w:i/>
          <w:iCs/>
          <w:sz w:val="20"/>
          <w:szCs w:val="20"/>
        </w:rPr>
        <w:instrText xml:space="preserve"> SEQ Tableau \* ARABIC </w:instrText>
      </w:r>
      <w:r w:rsidR="00211B05" w:rsidRPr="006973B5">
        <w:rPr>
          <w:rFonts w:ascii="Times New Roman" w:hAnsi="Times New Roman" w:cs="Times New Roman"/>
          <w:bCs/>
          <w:i/>
          <w:iCs/>
          <w:sz w:val="20"/>
          <w:szCs w:val="20"/>
        </w:rPr>
        <w:fldChar w:fldCharType="separate"/>
      </w:r>
      <w:r w:rsidR="00211B05" w:rsidRPr="006973B5">
        <w:rPr>
          <w:rFonts w:ascii="Times New Roman" w:hAnsi="Times New Roman" w:cs="Times New Roman"/>
          <w:bCs/>
          <w:i/>
          <w:iCs/>
          <w:noProof/>
          <w:sz w:val="20"/>
          <w:szCs w:val="20"/>
        </w:rPr>
        <w:t>14</w:t>
      </w:r>
      <w:r w:rsidR="00211B05" w:rsidRPr="006973B5">
        <w:rPr>
          <w:rFonts w:ascii="Times New Roman" w:hAnsi="Times New Roman" w:cs="Times New Roman"/>
          <w:bCs/>
          <w:i/>
          <w:iCs/>
          <w:sz w:val="20"/>
          <w:szCs w:val="20"/>
        </w:rPr>
        <w:fldChar w:fldCharType="end"/>
      </w:r>
      <w:r w:rsidRPr="006973B5">
        <w:rPr>
          <w:rFonts w:ascii="Times New Roman" w:hAnsi="Times New Roman" w:cs="Times New Roman"/>
          <w:bCs/>
          <w:i/>
          <w:iCs/>
          <w:sz w:val="20"/>
          <w:szCs w:val="20"/>
        </w:rPr>
        <w:t>. Taux d’emploi, de chômage et d’inactivité entre jeunes et adulte (année 2017)</w:t>
      </w:r>
      <w:bookmarkEnd w:id="54"/>
      <w:bookmarkEnd w:id="55"/>
    </w:p>
    <w:tbl>
      <w:tblPr>
        <w:tblStyle w:val="Style1"/>
        <w:tblW w:w="9910" w:type="dxa"/>
        <w:tblLayout w:type="fixed"/>
        <w:tblLook w:val="04A0" w:firstRow="1" w:lastRow="0" w:firstColumn="1" w:lastColumn="0" w:noHBand="0" w:noVBand="1"/>
      </w:tblPr>
      <w:tblGrid>
        <w:gridCol w:w="1418"/>
        <w:gridCol w:w="1701"/>
        <w:gridCol w:w="799"/>
        <w:gridCol w:w="790"/>
        <w:gridCol w:w="714"/>
        <w:gridCol w:w="674"/>
        <w:gridCol w:w="810"/>
        <w:gridCol w:w="750"/>
        <w:gridCol w:w="764"/>
        <w:gridCol w:w="781"/>
        <w:gridCol w:w="709"/>
      </w:tblGrid>
      <w:tr w:rsidR="00E42400" w:rsidRPr="006973B5" w:rsidTr="004620EF">
        <w:trPr>
          <w:cnfStyle w:val="100000000000" w:firstRow="1" w:lastRow="0" w:firstColumn="0" w:lastColumn="0" w:oddVBand="0" w:evenVBand="0" w:oddHBand="0" w:evenHBand="0" w:firstRowFirstColumn="0" w:firstRowLastColumn="0" w:lastRowFirstColumn="0" w:lastRowLastColumn="0"/>
          <w:trHeight w:val="227"/>
        </w:trPr>
        <w:tc>
          <w:tcPr>
            <w:tcW w:w="3119" w:type="dxa"/>
            <w:gridSpan w:val="2"/>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 </w:t>
            </w:r>
          </w:p>
        </w:tc>
        <w:tc>
          <w:tcPr>
            <w:tcW w:w="2303" w:type="dxa"/>
            <w:gridSpan w:val="3"/>
            <w:noWrap/>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Taux d'emploi</w:t>
            </w:r>
          </w:p>
        </w:tc>
        <w:tc>
          <w:tcPr>
            <w:tcW w:w="2234" w:type="dxa"/>
            <w:gridSpan w:val="3"/>
            <w:noWrap/>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Taux de chômage</w:t>
            </w:r>
          </w:p>
        </w:tc>
        <w:tc>
          <w:tcPr>
            <w:tcW w:w="2254" w:type="dxa"/>
            <w:gridSpan w:val="3"/>
            <w:noWrap/>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Taux d'inactivité</w:t>
            </w:r>
          </w:p>
        </w:tc>
      </w:tr>
      <w:tr w:rsidR="00E42400" w:rsidRPr="006973B5" w:rsidTr="004620EF">
        <w:trPr>
          <w:trHeight w:val="227"/>
        </w:trPr>
        <w:tc>
          <w:tcPr>
            <w:tcW w:w="3119" w:type="dxa"/>
            <w:gridSpan w:val="2"/>
            <w:vMerge/>
            <w:tcBorders>
              <w:bottom w:val="single" w:sz="4" w:space="0" w:color="70AD47" w:themeColor="accent6"/>
            </w:tcBorders>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799" w:type="dxa"/>
            <w:tcBorders>
              <w:bottom w:val="single" w:sz="4" w:space="0" w:color="70AD47" w:themeColor="accent6"/>
            </w:tcBorders>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Jeune</w:t>
            </w:r>
          </w:p>
        </w:tc>
        <w:tc>
          <w:tcPr>
            <w:tcW w:w="790" w:type="dxa"/>
            <w:tcBorders>
              <w:bottom w:val="single" w:sz="4" w:space="0" w:color="70AD47" w:themeColor="accent6"/>
            </w:tcBorders>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Adulte</w:t>
            </w:r>
          </w:p>
        </w:tc>
        <w:tc>
          <w:tcPr>
            <w:tcW w:w="714" w:type="dxa"/>
            <w:tcBorders>
              <w:bottom w:val="single" w:sz="4" w:space="0" w:color="70AD47" w:themeColor="accent6"/>
            </w:tcBorders>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Total</w:t>
            </w:r>
          </w:p>
        </w:tc>
        <w:tc>
          <w:tcPr>
            <w:tcW w:w="674" w:type="dxa"/>
            <w:tcBorders>
              <w:bottom w:val="single" w:sz="4" w:space="0" w:color="70AD47" w:themeColor="accent6"/>
            </w:tcBorders>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Jeune</w:t>
            </w:r>
          </w:p>
        </w:tc>
        <w:tc>
          <w:tcPr>
            <w:tcW w:w="810" w:type="dxa"/>
            <w:tcBorders>
              <w:bottom w:val="single" w:sz="4" w:space="0" w:color="70AD47" w:themeColor="accent6"/>
            </w:tcBorders>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Adulte</w:t>
            </w:r>
          </w:p>
        </w:tc>
        <w:tc>
          <w:tcPr>
            <w:tcW w:w="750" w:type="dxa"/>
            <w:tcBorders>
              <w:bottom w:val="single" w:sz="4" w:space="0" w:color="70AD47" w:themeColor="accent6"/>
            </w:tcBorders>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Total</w:t>
            </w:r>
          </w:p>
        </w:tc>
        <w:tc>
          <w:tcPr>
            <w:tcW w:w="764" w:type="dxa"/>
            <w:tcBorders>
              <w:bottom w:val="single" w:sz="4" w:space="0" w:color="70AD47" w:themeColor="accent6"/>
            </w:tcBorders>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Jeune</w:t>
            </w:r>
          </w:p>
        </w:tc>
        <w:tc>
          <w:tcPr>
            <w:tcW w:w="781" w:type="dxa"/>
            <w:tcBorders>
              <w:bottom w:val="single" w:sz="4" w:space="0" w:color="70AD47" w:themeColor="accent6"/>
            </w:tcBorders>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Adulte</w:t>
            </w:r>
          </w:p>
        </w:tc>
        <w:tc>
          <w:tcPr>
            <w:tcW w:w="709" w:type="dxa"/>
            <w:tcBorders>
              <w:bottom w:val="single" w:sz="4" w:space="0" w:color="70AD47" w:themeColor="accent6"/>
            </w:tcBorders>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Total</w:t>
            </w:r>
          </w:p>
        </w:tc>
      </w:tr>
      <w:tr w:rsidR="00E42400" w:rsidRPr="006973B5" w:rsidTr="004620EF">
        <w:trPr>
          <w:trHeight w:val="227"/>
        </w:trPr>
        <w:tc>
          <w:tcPr>
            <w:tcW w:w="1418" w:type="dxa"/>
            <w:vMerge w:val="restart"/>
            <w:tcBorders>
              <w:top w:val="single" w:sz="4" w:space="0" w:color="70AD47" w:themeColor="accent6"/>
              <w:bottom w:val="nil"/>
            </w:tcBorders>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Sexe</w:t>
            </w:r>
          </w:p>
        </w:tc>
        <w:tc>
          <w:tcPr>
            <w:tcW w:w="1701" w:type="dxa"/>
            <w:tcBorders>
              <w:top w:val="single" w:sz="4" w:space="0" w:color="70AD47" w:themeColor="accent6"/>
              <w:bottom w:val="nil"/>
            </w:tcBorders>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Homme</w:t>
            </w:r>
          </w:p>
        </w:tc>
        <w:tc>
          <w:tcPr>
            <w:tcW w:w="799" w:type="dxa"/>
            <w:tcBorders>
              <w:top w:val="single" w:sz="4" w:space="0" w:color="70AD47" w:themeColor="accent6"/>
              <w:bottom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53,5</w:t>
            </w:r>
          </w:p>
        </w:tc>
        <w:tc>
          <w:tcPr>
            <w:tcW w:w="790" w:type="dxa"/>
            <w:tcBorders>
              <w:top w:val="single" w:sz="4" w:space="0" w:color="70AD47" w:themeColor="accent6"/>
              <w:bottom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90,6</w:t>
            </w:r>
          </w:p>
        </w:tc>
        <w:tc>
          <w:tcPr>
            <w:tcW w:w="714" w:type="dxa"/>
            <w:tcBorders>
              <w:top w:val="single" w:sz="4" w:space="0" w:color="70AD47" w:themeColor="accent6"/>
              <w:bottom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78,8</w:t>
            </w:r>
          </w:p>
        </w:tc>
        <w:tc>
          <w:tcPr>
            <w:tcW w:w="674" w:type="dxa"/>
            <w:tcBorders>
              <w:top w:val="single" w:sz="4" w:space="0" w:color="70AD47" w:themeColor="accent6"/>
              <w:bottom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19,8</w:t>
            </w:r>
          </w:p>
        </w:tc>
        <w:tc>
          <w:tcPr>
            <w:tcW w:w="810" w:type="dxa"/>
            <w:tcBorders>
              <w:top w:val="single" w:sz="4" w:space="0" w:color="70AD47" w:themeColor="accent6"/>
              <w:bottom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4,1</w:t>
            </w:r>
          </w:p>
        </w:tc>
        <w:tc>
          <w:tcPr>
            <w:tcW w:w="750" w:type="dxa"/>
            <w:tcBorders>
              <w:top w:val="single" w:sz="4" w:space="0" w:color="70AD47" w:themeColor="accent6"/>
              <w:bottom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8,0</w:t>
            </w:r>
          </w:p>
        </w:tc>
        <w:tc>
          <w:tcPr>
            <w:tcW w:w="764" w:type="dxa"/>
            <w:tcBorders>
              <w:top w:val="single" w:sz="4" w:space="0" w:color="70AD47" w:themeColor="accent6"/>
              <w:bottom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33,2</w:t>
            </w:r>
          </w:p>
        </w:tc>
        <w:tc>
          <w:tcPr>
            <w:tcW w:w="781" w:type="dxa"/>
            <w:tcBorders>
              <w:top w:val="single" w:sz="4" w:space="0" w:color="70AD47" w:themeColor="accent6"/>
              <w:bottom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5,5</w:t>
            </w:r>
          </w:p>
        </w:tc>
        <w:tc>
          <w:tcPr>
            <w:tcW w:w="709" w:type="dxa"/>
            <w:tcBorders>
              <w:top w:val="single" w:sz="4" w:space="0" w:color="70AD47" w:themeColor="accent6"/>
              <w:bottom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14,3</w:t>
            </w:r>
          </w:p>
        </w:tc>
      </w:tr>
      <w:tr w:rsidR="00E42400" w:rsidRPr="006973B5" w:rsidTr="004620EF">
        <w:trPr>
          <w:trHeight w:val="227"/>
        </w:trPr>
        <w:tc>
          <w:tcPr>
            <w:tcW w:w="1418" w:type="dxa"/>
            <w:vMerge/>
            <w:tcBorders>
              <w:top w:val="nil"/>
            </w:tcBorders>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701" w:type="dxa"/>
            <w:tcBorders>
              <w:top w:val="nil"/>
            </w:tcBorders>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Femme</w:t>
            </w:r>
          </w:p>
        </w:tc>
        <w:tc>
          <w:tcPr>
            <w:tcW w:w="799" w:type="dxa"/>
            <w:tcBorders>
              <w:top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42,0</w:t>
            </w:r>
          </w:p>
        </w:tc>
        <w:tc>
          <w:tcPr>
            <w:tcW w:w="790" w:type="dxa"/>
            <w:tcBorders>
              <w:top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61,9</w:t>
            </w:r>
          </w:p>
        </w:tc>
        <w:tc>
          <w:tcPr>
            <w:tcW w:w="714" w:type="dxa"/>
            <w:tcBorders>
              <w:top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55,6</w:t>
            </w:r>
          </w:p>
        </w:tc>
        <w:tc>
          <w:tcPr>
            <w:tcW w:w="674" w:type="dxa"/>
            <w:tcBorders>
              <w:top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24,0</w:t>
            </w:r>
          </w:p>
        </w:tc>
        <w:tc>
          <w:tcPr>
            <w:tcW w:w="810" w:type="dxa"/>
            <w:tcBorders>
              <w:top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5,0</w:t>
            </w:r>
          </w:p>
        </w:tc>
        <w:tc>
          <w:tcPr>
            <w:tcW w:w="750" w:type="dxa"/>
            <w:tcBorders>
              <w:top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10,4</w:t>
            </w:r>
          </w:p>
        </w:tc>
        <w:tc>
          <w:tcPr>
            <w:tcW w:w="764" w:type="dxa"/>
            <w:tcBorders>
              <w:top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44,7</w:t>
            </w:r>
          </w:p>
        </w:tc>
        <w:tc>
          <w:tcPr>
            <w:tcW w:w="781" w:type="dxa"/>
            <w:tcBorders>
              <w:top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34,8</w:t>
            </w:r>
          </w:p>
        </w:tc>
        <w:tc>
          <w:tcPr>
            <w:tcW w:w="709" w:type="dxa"/>
            <w:tcBorders>
              <w:top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38,0</w:t>
            </w:r>
          </w:p>
        </w:tc>
      </w:tr>
      <w:tr w:rsidR="00E42400" w:rsidRPr="006973B5" w:rsidTr="004620EF">
        <w:trPr>
          <w:trHeight w:val="227"/>
        </w:trPr>
        <w:tc>
          <w:tcPr>
            <w:tcW w:w="1418"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Zone de résidence</w:t>
            </w:r>
          </w:p>
        </w:tc>
        <w:tc>
          <w:tcPr>
            <w:tcW w:w="17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Bamako</w:t>
            </w:r>
          </w:p>
        </w:tc>
        <w:tc>
          <w:tcPr>
            <w:tcW w:w="79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30,2</w:t>
            </w:r>
          </w:p>
        </w:tc>
        <w:tc>
          <w:tcPr>
            <w:tcW w:w="79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71,7</w:t>
            </w:r>
          </w:p>
        </w:tc>
        <w:tc>
          <w:tcPr>
            <w:tcW w:w="71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56,8</w:t>
            </w:r>
          </w:p>
        </w:tc>
        <w:tc>
          <w:tcPr>
            <w:tcW w:w="67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27,5</w:t>
            </w:r>
          </w:p>
        </w:tc>
        <w:tc>
          <w:tcPr>
            <w:tcW w:w="81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7,2</w:t>
            </w:r>
          </w:p>
        </w:tc>
        <w:tc>
          <w:tcPr>
            <w:tcW w:w="75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11,9</w:t>
            </w:r>
          </w:p>
        </w:tc>
        <w:tc>
          <w:tcPr>
            <w:tcW w:w="76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58,4</w:t>
            </w:r>
          </w:p>
        </w:tc>
        <w:tc>
          <w:tcPr>
            <w:tcW w:w="78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22,8</w:t>
            </w:r>
          </w:p>
        </w:tc>
        <w:tc>
          <w:tcPr>
            <w:tcW w:w="70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35,6</w:t>
            </w:r>
          </w:p>
        </w:tc>
      </w:tr>
      <w:tr w:rsidR="00E42400" w:rsidRPr="006973B5" w:rsidTr="004620EF">
        <w:trPr>
          <w:trHeight w:val="227"/>
        </w:trPr>
        <w:tc>
          <w:tcPr>
            <w:tcW w:w="1418"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7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Autre urbain</w:t>
            </w:r>
          </w:p>
        </w:tc>
        <w:tc>
          <w:tcPr>
            <w:tcW w:w="79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29,7</w:t>
            </w:r>
          </w:p>
        </w:tc>
        <w:tc>
          <w:tcPr>
            <w:tcW w:w="79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69,3</w:t>
            </w:r>
          </w:p>
        </w:tc>
        <w:tc>
          <w:tcPr>
            <w:tcW w:w="71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54,9</w:t>
            </w:r>
          </w:p>
        </w:tc>
        <w:tc>
          <w:tcPr>
            <w:tcW w:w="67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29,5</w:t>
            </w:r>
          </w:p>
        </w:tc>
        <w:tc>
          <w:tcPr>
            <w:tcW w:w="81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6,8</w:t>
            </w:r>
          </w:p>
        </w:tc>
        <w:tc>
          <w:tcPr>
            <w:tcW w:w="75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12,4</w:t>
            </w:r>
          </w:p>
        </w:tc>
        <w:tc>
          <w:tcPr>
            <w:tcW w:w="76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57,8</w:t>
            </w:r>
          </w:p>
        </w:tc>
        <w:tc>
          <w:tcPr>
            <w:tcW w:w="78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25,6</w:t>
            </w:r>
          </w:p>
        </w:tc>
        <w:tc>
          <w:tcPr>
            <w:tcW w:w="70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37,3</w:t>
            </w:r>
          </w:p>
        </w:tc>
      </w:tr>
      <w:tr w:rsidR="00E42400" w:rsidRPr="006973B5" w:rsidTr="004620EF">
        <w:trPr>
          <w:trHeight w:val="227"/>
        </w:trPr>
        <w:tc>
          <w:tcPr>
            <w:tcW w:w="1418"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7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Rural</w:t>
            </w:r>
          </w:p>
        </w:tc>
        <w:tc>
          <w:tcPr>
            <w:tcW w:w="79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55,1</w:t>
            </w:r>
          </w:p>
        </w:tc>
        <w:tc>
          <w:tcPr>
            <w:tcW w:w="79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76,7</w:t>
            </w:r>
          </w:p>
        </w:tc>
        <w:tc>
          <w:tcPr>
            <w:tcW w:w="71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70,2</w:t>
            </w:r>
          </w:p>
        </w:tc>
        <w:tc>
          <w:tcPr>
            <w:tcW w:w="67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20,1</w:t>
            </w:r>
          </w:p>
        </w:tc>
        <w:tc>
          <w:tcPr>
            <w:tcW w:w="81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3,7</w:t>
            </w:r>
          </w:p>
        </w:tc>
        <w:tc>
          <w:tcPr>
            <w:tcW w:w="75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8,1</w:t>
            </w:r>
          </w:p>
        </w:tc>
        <w:tc>
          <w:tcPr>
            <w:tcW w:w="76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31,0</w:t>
            </w:r>
          </w:p>
        </w:tc>
        <w:tc>
          <w:tcPr>
            <w:tcW w:w="78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20,4</w:t>
            </w:r>
          </w:p>
        </w:tc>
        <w:tc>
          <w:tcPr>
            <w:tcW w:w="70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23,6</w:t>
            </w:r>
          </w:p>
        </w:tc>
      </w:tr>
      <w:tr w:rsidR="00E42400" w:rsidRPr="006973B5" w:rsidTr="004620EF">
        <w:trPr>
          <w:trHeight w:val="227"/>
        </w:trPr>
        <w:tc>
          <w:tcPr>
            <w:tcW w:w="1418"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Région</w:t>
            </w:r>
          </w:p>
        </w:tc>
        <w:tc>
          <w:tcPr>
            <w:tcW w:w="17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Kayes</w:t>
            </w:r>
          </w:p>
        </w:tc>
        <w:tc>
          <w:tcPr>
            <w:tcW w:w="79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70,9</w:t>
            </w:r>
          </w:p>
        </w:tc>
        <w:tc>
          <w:tcPr>
            <w:tcW w:w="79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82,4</w:t>
            </w:r>
          </w:p>
        </w:tc>
        <w:tc>
          <w:tcPr>
            <w:tcW w:w="71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78,6</w:t>
            </w:r>
          </w:p>
        </w:tc>
        <w:tc>
          <w:tcPr>
            <w:tcW w:w="67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8,7</w:t>
            </w:r>
          </w:p>
        </w:tc>
        <w:tc>
          <w:tcPr>
            <w:tcW w:w="81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1,9</w:t>
            </w:r>
          </w:p>
        </w:tc>
        <w:tc>
          <w:tcPr>
            <w:tcW w:w="75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4,1</w:t>
            </w:r>
          </w:p>
        </w:tc>
        <w:tc>
          <w:tcPr>
            <w:tcW w:w="76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22,4</w:t>
            </w:r>
          </w:p>
        </w:tc>
        <w:tc>
          <w:tcPr>
            <w:tcW w:w="78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16,0</w:t>
            </w:r>
          </w:p>
        </w:tc>
        <w:tc>
          <w:tcPr>
            <w:tcW w:w="70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18,1</w:t>
            </w:r>
          </w:p>
        </w:tc>
      </w:tr>
      <w:tr w:rsidR="00E42400" w:rsidRPr="006973B5" w:rsidTr="004620EF">
        <w:trPr>
          <w:trHeight w:val="227"/>
        </w:trPr>
        <w:tc>
          <w:tcPr>
            <w:tcW w:w="1418"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7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Koulikoro</w:t>
            </w:r>
          </w:p>
        </w:tc>
        <w:tc>
          <w:tcPr>
            <w:tcW w:w="79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19,6</w:t>
            </w:r>
          </w:p>
        </w:tc>
        <w:tc>
          <w:tcPr>
            <w:tcW w:w="79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48,8</w:t>
            </w:r>
          </w:p>
        </w:tc>
        <w:tc>
          <w:tcPr>
            <w:tcW w:w="71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38,7</w:t>
            </w:r>
          </w:p>
        </w:tc>
        <w:tc>
          <w:tcPr>
            <w:tcW w:w="67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62,0</w:t>
            </w:r>
          </w:p>
        </w:tc>
        <w:tc>
          <w:tcPr>
            <w:tcW w:w="81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16,1</w:t>
            </w:r>
          </w:p>
        </w:tc>
        <w:tc>
          <w:tcPr>
            <w:tcW w:w="75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30,8</w:t>
            </w:r>
          </w:p>
        </w:tc>
        <w:tc>
          <w:tcPr>
            <w:tcW w:w="76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48,5</w:t>
            </w:r>
          </w:p>
        </w:tc>
        <w:tc>
          <w:tcPr>
            <w:tcW w:w="78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41,8</w:t>
            </w:r>
          </w:p>
        </w:tc>
        <w:tc>
          <w:tcPr>
            <w:tcW w:w="70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44,1</w:t>
            </w:r>
          </w:p>
        </w:tc>
      </w:tr>
      <w:tr w:rsidR="00E42400" w:rsidRPr="006973B5" w:rsidTr="004620EF">
        <w:trPr>
          <w:trHeight w:val="227"/>
        </w:trPr>
        <w:tc>
          <w:tcPr>
            <w:tcW w:w="1418"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7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Sikasso</w:t>
            </w:r>
          </w:p>
        </w:tc>
        <w:tc>
          <w:tcPr>
            <w:tcW w:w="79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67,6</w:t>
            </w:r>
          </w:p>
        </w:tc>
        <w:tc>
          <w:tcPr>
            <w:tcW w:w="79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91,0</w:t>
            </w:r>
          </w:p>
        </w:tc>
        <w:tc>
          <w:tcPr>
            <w:tcW w:w="71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83,1</w:t>
            </w:r>
          </w:p>
        </w:tc>
        <w:tc>
          <w:tcPr>
            <w:tcW w:w="67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6,4</w:t>
            </w:r>
          </w:p>
        </w:tc>
        <w:tc>
          <w:tcPr>
            <w:tcW w:w="81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1,6</w:t>
            </w:r>
          </w:p>
        </w:tc>
        <w:tc>
          <w:tcPr>
            <w:tcW w:w="75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3,0</w:t>
            </w:r>
          </w:p>
        </w:tc>
        <w:tc>
          <w:tcPr>
            <w:tcW w:w="76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27,8</w:t>
            </w:r>
          </w:p>
        </w:tc>
        <w:tc>
          <w:tcPr>
            <w:tcW w:w="78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7,5</w:t>
            </w:r>
          </w:p>
        </w:tc>
        <w:tc>
          <w:tcPr>
            <w:tcW w:w="70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14,3</w:t>
            </w:r>
          </w:p>
        </w:tc>
      </w:tr>
      <w:tr w:rsidR="00E42400" w:rsidRPr="006973B5" w:rsidTr="004620EF">
        <w:trPr>
          <w:trHeight w:val="227"/>
        </w:trPr>
        <w:tc>
          <w:tcPr>
            <w:tcW w:w="1418"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7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Ségou</w:t>
            </w:r>
          </w:p>
        </w:tc>
        <w:tc>
          <w:tcPr>
            <w:tcW w:w="79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57,5</w:t>
            </w:r>
          </w:p>
        </w:tc>
        <w:tc>
          <w:tcPr>
            <w:tcW w:w="79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81,6</w:t>
            </w:r>
          </w:p>
        </w:tc>
        <w:tc>
          <w:tcPr>
            <w:tcW w:w="71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74,8</w:t>
            </w:r>
          </w:p>
        </w:tc>
        <w:tc>
          <w:tcPr>
            <w:tcW w:w="67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9,2</w:t>
            </w:r>
          </w:p>
        </w:tc>
        <w:tc>
          <w:tcPr>
            <w:tcW w:w="81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1,1</w:t>
            </w:r>
          </w:p>
        </w:tc>
        <w:tc>
          <w:tcPr>
            <w:tcW w:w="75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3,0</w:t>
            </w:r>
          </w:p>
        </w:tc>
        <w:tc>
          <w:tcPr>
            <w:tcW w:w="76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36,7</w:t>
            </w:r>
          </w:p>
        </w:tc>
        <w:tc>
          <w:tcPr>
            <w:tcW w:w="78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17,4</w:t>
            </w:r>
          </w:p>
        </w:tc>
        <w:tc>
          <w:tcPr>
            <w:tcW w:w="70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22,9</w:t>
            </w:r>
          </w:p>
        </w:tc>
      </w:tr>
      <w:tr w:rsidR="00E42400" w:rsidRPr="006973B5" w:rsidTr="004620EF">
        <w:trPr>
          <w:trHeight w:val="227"/>
        </w:trPr>
        <w:tc>
          <w:tcPr>
            <w:tcW w:w="1418"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7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Mopti</w:t>
            </w:r>
          </w:p>
        </w:tc>
        <w:tc>
          <w:tcPr>
            <w:tcW w:w="79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56,7</w:t>
            </w:r>
          </w:p>
        </w:tc>
        <w:tc>
          <w:tcPr>
            <w:tcW w:w="79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83,1</w:t>
            </w:r>
          </w:p>
        </w:tc>
        <w:tc>
          <w:tcPr>
            <w:tcW w:w="71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76,3</w:t>
            </w:r>
          </w:p>
        </w:tc>
        <w:tc>
          <w:tcPr>
            <w:tcW w:w="67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21,2</w:t>
            </w:r>
          </w:p>
        </w:tc>
        <w:tc>
          <w:tcPr>
            <w:tcW w:w="81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1,2</w:t>
            </w:r>
          </w:p>
        </w:tc>
        <w:tc>
          <w:tcPr>
            <w:tcW w:w="75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5,8</w:t>
            </w:r>
          </w:p>
        </w:tc>
        <w:tc>
          <w:tcPr>
            <w:tcW w:w="76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28,0</w:t>
            </w:r>
          </w:p>
        </w:tc>
        <w:tc>
          <w:tcPr>
            <w:tcW w:w="78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15,9</w:t>
            </w:r>
          </w:p>
        </w:tc>
        <w:tc>
          <w:tcPr>
            <w:tcW w:w="70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19,0</w:t>
            </w:r>
          </w:p>
        </w:tc>
      </w:tr>
      <w:tr w:rsidR="00E42400" w:rsidRPr="006973B5" w:rsidTr="004620EF">
        <w:trPr>
          <w:trHeight w:val="227"/>
        </w:trPr>
        <w:tc>
          <w:tcPr>
            <w:tcW w:w="1418"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7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Tombouctou</w:t>
            </w:r>
          </w:p>
        </w:tc>
        <w:tc>
          <w:tcPr>
            <w:tcW w:w="79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49,1</w:t>
            </w:r>
          </w:p>
        </w:tc>
        <w:tc>
          <w:tcPr>
            <w:tcW w:w="79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79,1</w:t>
            </w:r>
          </w:p>
        </w:tc>
        <w:tc>
          <w:tcPr>
            <w:tcW w:w="71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72,1</w:t>
            </w:r>
          </w:p>
        </w:tc>
        <w:tc>
          <w:tcPr>
            <w:tcW w:w="67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11,1</w:t>
            </w:r>
          </w:p>
        </w:tc>
        <w:tc>
          <w:tcPr>
            <w:tcW w:w="81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2,9</w:t>
            </w:r>
          </w:p>
        </w:tc>
        <w:tc>
          <w:tcPr>
            <w:tcW w:w="75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4,3</w:t>
            </w:r>
          </w:p>
        </w:tc>
        <w:tc>
          <w:tcPr>
            <w:tcW w:w="76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44,7</w:t>
            </w:r>
          </w:p>
        </w:tc>
        <w:tc>
          <w:tcPr>
            <w:tcW w:w="78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18,5</w:t>
            </w:r>
          </w:p>
        </w:tc>
        <w:tc>
          <w:tcPr>
            <w:tcW w:w="70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24,6</w:t>
            </w:r>
          </w:p>
        </w:tc>
      </w:tr>
      <w:tr w:rsidR="00E42400" w:rsidRPr="006973B5" w:rsidTr="004620EF">
        <w:trPr>
          <w:trHeight w:val="227"/>
        </w:trPr>
        <w:tc>
          <w:tcPr>
            <w:tcW w:w="1418"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7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Gao</w:t>
            </w:r>
          </w:p>
        </w:tc>
        <w:tc>
          <w:tcPr>
            <w:tcW w:w="79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9,5</w:t>
            </w:r>
          </w:p>
        </w:tc>
        <w:tc>
          <w:tcPr>
            <w:tcW w:w="79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37,0</w:t>
            </w:r>
          </w:p>
        </w:tc>
        <w:tc>
          <w:tcPr>
            <w:tcW w:w="71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27,2</w:t>
            </w:r>
          </w:p>
        </w:tc>
        <w:tc>
          <w:tcPr>
            <w:tcW w:w="67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67,4</w:t>
            </w:r>
          </w:p>
        </w:tc>
        <w:tc>
          <w:tcPr>
            <w:tcW w:w="81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20,5</w:t>
            </w:r>
          </w:p>
        </w:tc>
        <w:tc>
          <w:tcPr>
            <w:tcW w:w="75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32,7</w:t>
            </w:r>
          </w:p>
        </w:tc>
        <w:tc>
          <w:tcPr>
            <w:tcW w:w="76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70,8</w:t>
            </w:r>
          </w:p>
        </w:tc>
        <w:tc>
          <w:tcPr>
            <w:tcW w:w="78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53,4</w:t>
            </w:r>
          </w:p>
        </w:tc>
        <w:tc>
          <w:tcPr>
            <w:tcW w:w="70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59,6</w:t>
            </w:r>
          </w:p>
        </w:tc>
      </w:tr>
      <w:tr w:rsidR="00E42400" w:rsidRPr="006973B5" w:rsidTr="004620EF">
        <w:trPr>
          <w:trHeight w:val="227"/>
        </w:trPr>
        <w:tc>
          <w:tcPr>
            <w:tcW w:w="1418"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7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Bamako</w:t>
            </w:r>
          </w:p>
        </w:tc>
        <w:tc>
          <w:tcPr>
            <w:tcW w:w="79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30,2</w:t>
            </w:r>
          </w:p>
        </w:tc>
        <w:tc>
          <w:tcPr>
            <w:tcW w:w="79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71,7</w:t>
            </w:r>
          </w:p>
        </w:tc>
        <w:tc>
          <w:tcPr>
            <w:tcW w:w="71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56,8</w:t>
            </w:r>
          </w:p>
        </w:tc>
        <w:tc>
          <w:tcPr>
            <w:tcW w:w="67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27,5</w:t>
            </w:r>
          </w:p>
        </w:tc>
        <w:tc>
          <w:tcPr>
            <w:tcW w:w="81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7,2</w:t>
            </w:r>
          </w:p>
        </w:tc>
        <w:tc>
          <w:tcPr>
            <w:tcW w:w="75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11,9</w:t>
            </w:r>
          </w:p>
        </w:tc>
        <w:tc>
          <w:tcPr>
            <w:tcW w:w="76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58,4</w:t>
            </w:r>
          </w:p>
        </w:tc>
        <w:tc>
          <w:tcPr>
            <w:tcW w:w="78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22,8</w:t>
            </w:r>
          </w:p>
        </w:tc>
        <w:tc>
          <w:tcPr>
            <w:tcW w:w="70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35,6</w:t>
            </w:r>
          </w:p>
        </w:tc>
      </w:tr>
      <w:tr w:rsidR="00E42400" w:rsidRPr="006973B5" w:rsidTr="004620EF">
        <w:trPr>
          <w:trHeight w:val="227"/>
        </w:trPr>
        <w:tc>
          <w:tcPr>
            <w:tcW w:w="1418"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Statut de pauvreté</w:t>
            </w:r>
          </w:p>
        </w:tc>
        <w:tc>
          <w:tcPr>
            <w:tcW w:w="17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Non pauvres</w:t>
            </w:r>
          </w:p>
        </w:tc>
        <w:tc>
          <w:tcPr>
            <w:tcW w:w="799" w:type="dxa"/>
            <w:noWrap/>
          </w:tcPr>
          <w:p w:rsidR="00E42400" w:rsidRPr="006973B5" w:rsidRDefault="00E42400" w:rsidP="004620EF">
            <w:pPr>
              <w:jc w:val="right"/>
            </w:pPr>
            <w:r w:rsidRPr="006973B5">
              <w:rPr>
                <w:rFonts w:ascii="Times New Roman" w:eastAsia="Times New Roman" w:hAnsi="Times New Roman" w:cs="Times New Roman"/>
                <w:color w:val="000000"/>
                <w:sz w:val="20"/>
                <w:szCs w:val="20"/>
                <w:lang w:eastAsia="fr-FR"/>
              </w:rPr>
              <w:t> –</w:t>
            </w:r>
          </w:p>
        </w:tc>
        <w:tc>
          <w:tcPr>
            <w:tcW w:w="790" w:type="dxa"/>
            <w:noWrap/>
          </w:tcPr>
          <w:p w:rsidR="00E42400" w:rsidRPr="006973B5" w:rsidRDefault="00E42400" w:rsidP="004620EF">
            <w:pPr>
              <w:jc w:val="right"/>
            </w:pPr>
            <w:r w:rsidRPr="006973B5">
              <w:rPr>
                <w:rFonts w:ascii="Times New Roman" w:eastAsia="Times New Roman" w:hAnsi="Times New Roman" w:cs="Times New Roman"/>
                <w:color w:val="000000"/>
                <w:sz w:val="20"/>
                <w:szCs w:val="20"/>
                <w:lang w:eastAsia="fr-FR"/>
              </w:rPr>
              <w:t> –</w:t>
            </w:r>
          </w:p>
        </w:tc>
        <w:tc>
          <w:tcPr>
            <w:tcW w:w="714" w:type="dxa"/>
            <w:noWrap/>
          </w:tcPr>
          <w:p w:rsidR="00E42400" w:rsidRPr="006973B5" w:rsidRDefault="00E42400" w:rsidP="004620EF">
            <w:pPr>
              <w:jc w:val="right"/>
            </w:pPr>
            <w:r w:rsidRPr="006973B5">
              <w:rPr>
                <w:rFonts w:ascii="Times New Roman" w:eastAsia="Times New Roman" w:hAnsi="Times New Roman" w:cs="Times New Roman"/>
                <w:color w:val="000000"/>
                <w:sz w:val="20"/>
                <w:szCs w:val="20"/>
                <w:lang w:eastAsia="fr-FR"/>
              </w:rPr>
              <w:t> –</w:t>
            </w:r>
          </w:p>
        </w:tc>
        <w:tc>
          <w:tcPr>
            <w:tcW w:w="674" w:type="dxa"/>
            <w:noWrap/>
          </w:tcPr>
          <w:p w:rsidR="00E42400" w:rsidRPr="006973B5" w:rsidRDefault="00E42400" w:rsidP="004620EF">
            <w:pPr>
              <w:jc w:val="right"/>
            </w:pPr>
            <w:r w:rsidRPr="006973B5">
              <w:rPr>
                <w:rFonts w:ascii="Times New Roman" w:eastAsia="Times New Roman" w:hAnsi="Times New Roman" w:cs="Times New Roman"/>
                <w:color w:val="000000"/>
                <w:sz w:val="20"/>
                <w:szCs w:val="20"/>
                <w:lang w:eastAsia="fr-FR"/>
              </w:rPr>
              <w:t> –</w:t>
            </w:r>
          </w:p>
        </w:tc>
        <w:tc>
          <w:tcPr>
            <w:tcW w:w="810" w:type="dxa"/>
            <w:noWrap/>
          </w:tcPr>
          <w:p w:rsidR="00E42400" w:rsidRPr="006973B5" w:rsidRDefault="00E42400" w:rsidP="004620EF">
            <w:pPr>
              <w:jc w:val="right"/>
            </w:pPr>
            <w:r w:rsidRPr="006973B5">
              <w:rPr>
                <w:rFonts w:ascii="Times New Roman" w:eastAsia="Times New Roman" w:hAnsi="Times New Roman" w:cs="Times New Roman"/>
                <w:color w:val="000000"/>
                <w:sz w:val="20"/>
                <w:szCs w:val="20"/>
                <w:lang w:eastAsia="fr-FR"/>
              </w:rPr>
              <w:t> –</w:t>
            </w:r>
          </w:p>
        </w:tc>
        <w:tc>
          <w:tcPr>
            <w:tcW w:w="750" w:type="dxa"/>
            <w:noWrap/>
          </w:tcPr>
          <w:p w:rsidR="00E42400" w:rsidRPr="006973B5" w:rsidRDefault="00E42400" w:rsidP="004620EF">
            <w:pPr>
              <w:jc w:val="right"/>
            </w:pPr>
            <w:r w:rsidRPr="006973B5">
              <w:rPr>
                <w:rFonts w:ascii="Times New Roman" w:eastAsia="Times New Roman" w:hAnsi="Times New Roman" w:cs="Times New Roman"/>
                <w:color w:val="000000"/>
                <w:sz w:val="20"/>
                <w:szCs w:val="20"/>
                <w:lang w:eastAsia="fr-FR"/>
              </w:rPr>
              <w:t> –</w:t>
            </w:r>
          </w:p>
        </w:tc>
        <w:tc>
          <w:tcPr>
            <w:tcW w:w="764" w:type="dxa"/>
            <w:noWrap/>
          </w:tcPr>
          <w:p w:rsidR="00E42400" w:rsidRPr="006973B5" w:rsidRDefault="00E42400" w:rsidP="004620EF">
            <w:pPr>
              <w:jc w:val="right"/>
            </w:pPr>
            <w:r w:rsidRPr="006973B5">
              <w:rPr>
                <w:rFonts w:ascii="Times New Roman" w:eastAsia="Times New Roman" w:hAnsi="Times New Roman" w:cs="Times New Roman"/>
                <w:color w:val="000000"/>
                <w:sz w:val="20"/>
                <w:szCs w:val="20"/>
                <w:lang w:eastAsia="fr-FR"/>
              </w:rPr>
              <w:t> –</w:t>
            </w:r>
          </w:p>
        </w:tc>
        <w:tc>
          <w:tcPr>
            <w:tcW w:w="781" w:type="dxa"/>
            <w:noWrap/>
          </w:tcPr>
          <w:p w:rsidR="00E42400" w:rsidRPr="006973B5" w:rsidRDefault="00E42400" w:rsidP="004620EF">
            <w:pPr>
              <w:jc w:val="right"/>
            </w:pPr>
            <w:r w:rsidRPr="006973B5">
              <w:rPr>
                <w:rFonts w:ascii="Times New Roman" w:eastAsia="Times New Roman" w:hAnsi="Times New Roman" w:cs="Times New Roman"/>
                <w:color w:val="000000"/>
                <w:sz w:val="20"/>
                <w:szCs w:val="20"/>
                <w:lang w:eastAsia="fr-FR"/>
              </w:rPr>
              <w:t> –</w:t>
            </w:r>
          </w:p>
        </w:tc>
        <w:tc>
          <w:tcPr>
            <w:tcW w:w="709" w:type="dxa"/>
            <w:noWrap/>
          </w:tcPr>
          <w:p w:rsidR="00E42400" w:rsidRPr="006973B5" w:rsidRDefault="00E42400" w:rsidP="004620EF">
            <w:pPr>
              <w:jc w:val="right"/>
            </w:pPr>
            <w:r w:rsidRPr="006973B5">
              <w:rPr>
                <w:rFonts w:ascii="Times New Roman" w:eastAsia="Times New Roman" w:hAnsi="Times New Roman" w:cs="Times New Roman"/>
                <w:color w:val="000000"/>
                <w:sz w:val="20"/>
                <w:szCs w:val="20"/>
                <w:lang w:eastAsia="fr-FR"/>
              </w:rPr>
              <w:t> –</w:t>
            </w:r>
          </w:p>
        </w:tc>
      </w:tr>
      <w:tr w:rsidR="00E42400" w:rsidRPr="006973B5" w:rsidTr="004620EF">
        <w:trPr>
          <w:trHeight w:val="227"/>
        </w:trPr>
        <w:tc>
          <w:tcPr>
            <w:tcW w:w="1418"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7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Pauvres</w:t>
            </w:r>
          </w:p>
        </w:tc>
        <w:tc>
          <w:tcPr>
            <w:tcW w:w="799" w:type="dxa"/>
            <w:noWrap/>
          </w:tcPr>
          <w:p w:rsidR="00E42400" w:rsidRPr="006973B5" w:rsidRDefault="00E42400" w:rsidP="004620EF">
            <w:pPr>
              <w:jc w:val="right"/>
            </w:pPr>
            <w:r w:rsidRPr="006973B5">
              <w:rPr>
                <w:rFonts w:ascii="Times New Roman" w:eastAsia="Times New Roman" w:hAnsi="Times New Roman" w:cs="Times New Roman"/>
                <w:color w:val="000000"/>
                <w:sz w:val="20"/>
                <w:szCs w:val="20"/>
                <w:lang w:eastAsia="fr-FR"/>
              </w:rPr>
              <w:t> –</w:t>
            </w:r>
          </w:p>
        </w:tc>
        <w:tc>
          <w:tcPr>
            <w:tcW w:w="790" w:type="dxa"/>
            <w:noWrap/>
          </w:tcPr>
          <w:p w:rsidR="00E42400" w:rsidRPr="006973B5" w:rsidRDefault="00E42400" w:rsidP="004620EF">
            <w:pPr>
              <w:jc w:val="right"/>
            </w:pPr>
            <w:r w:rsidRPr="006973B5">
              <w:rPr>
                <w:rFonts w:ascii="Times New Roman" w:eastAsia="Times New Roman" w:hAnsi="Times New Roman" w:cs="Times New Roman"/>
                <w:color w:val="000000"/>
                <w:sz w:val="20"/>
                <w:szCs w:val="20"/>
                <w:lang w:eastAsia="fr-FR"/>
              </w:rPr>
              <w:t> –</w:t>
            </w:r>
          </w:p>
        </w:tc>
        <w:tc>
          <w:tcPr>
            <w:tcW w:w="714" w:type="dxa"/>
            <w:noWrap/>
          </w:tcPr>
          <w:p w:rsidR="00E42400" w:rsidRPr="006973B5" w:rsidRDefault="00E42400" w:rsidP="004620EF">
            <w:pPr>
              <w:jc w:val="right"/>
            </w:pPr>
            <w:r w:rsidRPr="006973B5">
              <w:rPr>
                <w:rFonts w:ascii="Times New Roman" w:eastAsia="Times New Roman" w:hAnsi="Times New Roman" w:cs="Times New Roman"/>
                <w:color w:val="000000"/>
                <w:sz w:val="20"/>
                <w:szCs w:val="20"/>
                <w:lang w:eastAsia="fr-FR"/>
              </w:rPr>
              <w:t> –</w:t>
            </w:r>
          </w:p>
        </w:tc>
        <w:tc>
          <w:tcPr>
            <w:tcW w:w="674" w:type="dxa"/>
            <w:noWrap/>
          </w:tcPr>
          <w:p w:rsidR="00E42400" w:rsidRPr="006973B5" w:rsidRDefault="00E42400" w:rsidP="004620EF">
            <w:pPr>
              <w:jc w:val="right"/>
            </w:pPr>
            <w:r w:rsidRPr="006973B5">
              <w:rPr>
                <w:rFonts w:ascii="Times New Roman" w:eastAsia="Times New Roman" w:hAnsi="Times New Roman" w:cs="Times New Roman"/>
                <w:color w:val="000000"/>
                <w:sz w:val="20"/>
                <w:szCs w:val="20"/>
                <w:lang w:eastAsia="fr-FR"/>
              </w:rPr>
              <w:t> –</w:t>
            </w:r>
          </w:p>
        </w:tc>
        <w:tc>
          <w:tcPr>
            <w:tcW w:w="810" w:type="dxa"/>
            <w:noWrap/>
          </w:tcPr>
          <w:p w:rsidR="00E42400" w:rsidRPr="006973B5" w:rsidRDefault="00E42400" w:rsidP="004620EF">
            <w:pPr>
              <w:jc w:val="right"/>
            </w:pPr>
            <w:r w:rsidRPr="006973B5">
              <w:rPr>
                <w:rFonts w:ascii="Times New Roman" w:eastAsia="Times New Roman" w:hAnsi="Times New Roman" w:cs="Times New Roman"/>
                <w:color w:val="000000"/>
                <w:sz w:val="20"/>
                <w:szCs w:val="20"/>
                <w:lang w:eastAsia="fr-FR"/>
              </w:rPr>
              <w:t> –</w:t>
            </w:r>
          </w:p>
        </w:tc>
        <w:tc>
          <w:tcPr>
            <w:tcW w:w="750" w:type="dxa"/>
            <w:noWrap/>
          </w:tcPr>
          <w:p w:rsidR="00E42400" w:rsidRPr="006973B5" w:rsidRDefault="00E42400" w:rsidP="004620EF">
            <w:pPr>
              <w:jc w:val="right"/>
            </w:pPr>
            <w:r w:rsidRPr="006973B5">
              <w:rPr>
                <w:rFonts w:ascii="Times New Roman" w:eastAsia="Times New Roman" w:hAnsi="Times New Roman" w:cs="Times New Roman"/>
                <w:color w:val="000000"/>
                <w:sz w:val="20"/>
                <w:szCs w:val="20"/>
                <w:lang w:eastAsia="fr-FR"/>
              </w:rPr>
              <w:t> –</w:t>
            </w:r>
          </w:p>
        </w:tc>
        <w:tc>
          <w:tcPr>
            <w:tcW w:w="764" w:type="dxa"/>
            <w:noWrap/>
          </w:tcPr>
          <w:p w:rsidR="00E42400" w:rsidRPr="006973B5" w:rsidRDefault="00E42400" w:rsidP="004620EF">
            <w:pPr>
              <w:jc w:val="right"/>
            </w:pPr>
            <w:r w:rsidRPr="006973B5">
              <w:rPr>
                <w:rFonts w:ascii="Times New Roman" w:eastAsia="Times New Roman" w:hAnsi="Times New Roman" w:cs="Times New Roman"/>
                <w:color w:val="000000"/>
                <w:sz w:val="20"/>
                <w:szCs w:val="20"/>
                <w:lang w:eastAsia="fr-FR"/>
              </w:rPr>
              <w:t> –</w:t>
            </w:r>
          </w:p>
        </w:tc>
        <w:tc>
          <w:tcPr>
            <w:tcW w:w="781" w:type="dxa"/>
            <w:noWrap/>
          </w:tcPr>
          <w:p w:rsidR="00E42400" w:rsidRPr="006973B5" w:rsidRDefault="00E42400" w:rsidP="004620EF">
            <w:pPr>
              <w:jc w:val="right"/>
            </w:pPr>
            <w:r w:rsidRPr="006973B5">
              <w:rPr>
                <w:rFonts w:ascii="Times New Roman" w:eastAsia="Times New Roman" w:hAnsi="Times New Roman" w:cs="Times New Roman"/>
                <w:color w:val="000000"/>
                <w:sz w:val="20"/>
                <w:szCs w:val="20"/>
                <w:lang w:eastAsia="fr-FR"/>
              </w:rPr>
              <w:t> –</w:t>
            </w:r>
          </w:p>
        </w:tc>
        <w:tc>
          <w:tcPr>
            <w:tcW w:w="709" w:type="dxa"/>
            <w:noWrap/>
          </w:tcPr>
          <w:p w:rsidR="00E42400" w:rsidRPr="006973B5" w:rsidRDefault="00E42400" w:rsidP="004620EF">
            <w:pPr>
              <w:jc w:val="right"/>
            </w:pPr>
            <w:r w:rsidRPr="006973B5">
              <w:rPr>
                <w:rFonts w:ascii="Times New Roman" w:eastAsia="Times New Roman" w:hAnsi="Times New Roman" w:cs="Times New Roman"/>
                <w:color w:val="000000"/>
                <w:sz w:val="20"/>
                <w:szCs w:val="20"/>
                <w:lang w:eastAsia="fr-FR"/>
              </w:rPr>
              <w:t> –</w:t>
            </w:r>
          </w:p>
        </w:tc>
      </w:tr>
      <w:tr w:rsidR="00E42400" w:rsidRPr="006973B5" w:rsidTr="004620EF">
        <w:trPr>
          <w:trHeight w:val="227"/>
        </w:trPr>
        <w:tc>
          <w:tcPr>
            <w:tcW w:w="1418"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Niveau d'éducation</w:t>
            </w:r>
          </w:p>
        </w:tc>
        <w:tc>
          <w:tcPr>
            <w:tcW w:w="17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Aucun</w:t>
            </w:r>
          </w:p>
        </w:tc>
        <w:tc>
          <w:tcPr>
            <w:tcW w:w="79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62,8</w:t>
            </w:r>
          </w:p>
        </w:tc>
        <w:tc>
          <w:tcPr>
            <w:tcW w:w="79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75,6</w:t>
            </w:r>
          </w:p>
        </w:tc>
        <w:tc>
          <w:tcPr>
            <w:tcW w:w="71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72,7</w:t>
            </w:r>
          </w:p>
        </w:tc>
        <w:tc>
          <w:tcPr>
            <w:tcW w:w="67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19,4</w:t>
            </w:r>
          </w:p>
        </w:tc>
        <w:tc>
          <w:tcPr>
            <w:tcW w:w="81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2,8</w:t>
            </w:r>
          </w:p>
        </w:tc>
        <w:tc>
          <w:tcPr>
            <w:tcW w:w="75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6,6</w:t>
            </w:r>
          </w:p>
        </w:tc>
        <w:tc>
          <w:tcPr>
            <w:tcW w:w="76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22,0</w:t>
            </w:r>
          </w:p>
        </w:tc>
        <w:tc>
          <w:tcPr>
            <w:tcW w:w="78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22,2</w:t>
            </w:r>
          </w:p>
        </w:tc>
        <w:tc>
          <w:tcPr>
            <w:tcW w:w="70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22,2</w:t>
            </w:r>
          </w:p>
        </w:tc>
      </w:tr>
      <w:tr w:rsidR="00E42400" w:rsidRPr="006973B5" w:rsidTr="004620EF">
        <w:trPr>
          <w:trHeight w:val="227"/>
        </w:trPr>
        <w:tc>
          <w:tcPr>
            <w:tcW w:w="1418"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7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Fondamental</w:t>
            </w:r>
          </w:p>
        </w:tc>
        <w:tc>
          <w:tcPr>
            <w:tcW w:w="79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34,5</w:t>
            </w:r>
          </w:p>
        </w:tc>
        <w:tc>
          <w:tcPr>
            <w:tcW w:w="79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74,0</w:t>
            </w:r>
          </w:p>
        </w:tc>
        <w:tc>
          <w:tcPr>
            <w:tcW w:w="71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51,9</w:t>
            </w:r>
          </w:p>
        </w:tc>
        <w:tc>
          <w:tcPr>
            <w:tcW w:w="67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23,4</w:t>
            </w:r>
          </w:p>
        </w:tc>
        <w:tc>
          <w:tcPr>
            <w:tcW w:w="81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5,9</w:t>
            </w:r>
          </w:p>
        </w:tc>
        <w:tc>
          <w:tcPr>
            <w:tcW w:w="75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13,3</w:t>
            </w:r>
          </w:p>
        </w:tc>
        <w:tc>
          <w:tcPr>
            <w:tcW w:w="76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55,0</w:t>
            </w:r>
          </w:p>
        </w:tc>
        <w:tc>
          <w:tcPr>
            <w:tcW w:w="78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21,3</w:t>
            </w:r>
          </w:p>
        </w:tc>
        <w:tc>
          <w:tcPr>
            <w:tcW w:w="70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40,1</w:t>
            </w:r>
          </w:p>
        </w:tc>
      </w:tr>
      <w:tr w:rsidR="00E42400" w:rsidRPr="006973B5" w:rsidTr="004620EF">
        <w:trPr>
          <w:trHeight w:val="227"/>
        </w:trPr>
        <w:tc>
          <w:tcPr>
            <w:tcW w:w="1418"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7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Secondaire</w:t>
            </w:r>
          </w:p>
        </w:tc>
        <w:tc>
          <w:tcPr>
            <w:tcW w:w="79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15,8</w:t>
            </w:r>
          </w:p>
        </w:tc>
        <w:tc>
          <w:tcPr>
            <w:tcW w:w="79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72,4</w:t>
            </w:r>
          </w:p>
        </w:tc>
        <w:tc>
          <w:tcPr>
            <w:tcW w:w="71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58,1</w:t>
            </w:r>
          </w:p>
        </w:tc>
        <w:tc>
          <w:tcPr>
            <w:tcW w:w="67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60,0</w:t>
            </w:r>
          </w:p>
        </w:tc>
        <w:tc>
          <w:tcPr>
            <w:tcW w:w="81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16,3</w:t>
            </w:r>
          </w:p>
        </w:tc>
        <w:tc>
          <w:tcPr>
            <w:tcW w:w="75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22,1</w:t>
            </w:r>
          </w:p>
        </w:tc>
        <w:tc>
          <w:tcPr>
            <w:tcW w:w="76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60,5</w:t>
            </w:r>
          </w:p>
        </w:tc>
        <w:tc>
          <w:tcPr>
            <w:tcW w:w="78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13,6</w:t>
            </w:r>
          </w:p>
        </w:tc>
        <w:tc>
          <w:tcPr>
            <w:tcW w:w="70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25,4</w:t>
            </w:r>
          </w:p>
        </w:tc>
      </w:tr>
      <w:tr w:rsidR="00E42400" w:rsidRPr="006973B5" w:rsidTr="004620EF">
        <w:trPr>
          <w:trHeight w:val="227"/>
        </w:trPr>
        <w:tc>
          <w:tcPr>
            <w:tcW w:w="1418"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7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Supérieur</w:t>
            </w:r>
          </w:p>
        </w:tc>
        <w:tc>
          <w:tcPr>
            <w:tcW w:w="79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15,1</w:t>
            </w:r>
          </w:p>
        </w:tc>
        <w:tc>
          <w:tcPr>
            <w:tcW w:w="79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71,4</w:t>
            </w:r>
          </w:p>
        </w:tc>
        <w:tc>
          <w:tcPr>
            <w:tcW w:w="71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68,0</w:t>
            </w:r>
          </w:p>
        </w:tc>
        <w:tc>
          <w:tcPr>
            <w:tcW w:w="67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78,7</w:t>
            </w:r>
          </w:p>
        </w:tc>
        <w:tc>
          <w:tcPr>
            <w:tcW w:w="81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22,3</w:t>
            </w:r>
          </w:p>
        </w:tc>
        <w:tc>
          <w:tcPr>
            <w:tcW w:w="75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25,0</w:t>
            </w:r>
          </w:p>
        </w:tc>
        <w:tc>
          <w:tcPr>
            <w:tcW w:w="76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29,0</w:t>
            </w:r>
          </w:p>
        </w:tc>
        <w:tc>
          <w:tcPr>
            <w:tcW w:w="78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8,0</w:t>
            </w:r>
          </w:p>
        </w:tc>
        <w:tc>
          <w:tcPr>
            <w:tcW w:w="70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9,3</w:t>
            </w:r>
          </w:p>
        </w:tc>
      </w:tr>
      <w:tr w:rsidR="00E42400" w:rsidRPr="006973B5" w:rsidTr="004620EF">
        <w:trPr>
          <w:trHeight w:val="227"/>
        </w:trPr>
        <w:tc>
          <w:tcPr>
            <w:tcW w:w="1418"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7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Total</w:t>
            </w:r>
          </w:p>
        </w:tc>
        <w:tc>
          <w:tcPr>
            <w:tcW w:w="79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47,3</w:t>
            </w:r>
          </w:p>
        </w:tc>
        <w:tc>
          <w:tcPr>
            <w:tcW w:w="79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75,1</w:t>
            </w:r>
          </w:p>
        </w:tc>
        <w:tc>
          <w:tcPr>
            <w:tcW w:w="71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66,3</w:t>
            </w:r>
          </w:p>
        </w:tc>
        <w:tc>
          <w:tcPr>
            <w:tcW w:w="67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21,9</w:t>
            </w:r>
          </w:p>
        </w:tc>
        <w:tc>
          <w:tcPr>
            <w:tcW w:w="81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4,5</w:t>
            </w:r>
          </w:p>
        </w:tc>
        <w:tc>
          <w:tcPr>
            <w:tcW w:w="75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9,1</w:t>
            </w:r>
          </w:p>
        </w:tc>
        <w:tc>
          <w:tcPr>
            <w:tcW w:w="76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39,4</w:t>
            </w:r>
          </w:p>
        </w:tc>
        <w:tc>
          <w:tcPr>
            <w:tcW w:w="78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21,4</w:t>
            </w:r>
          </w:p>
        </w:tc>
        <w:tc>
          <w:tcPr>
            <w:tcW w:w="70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27,1</w:t>
            </w:r>
          </w:p>
        </w:tc>
      </w:tr>
    </w:tbl>
    <w:p w:rsidR="00E42400" w:rsidRPr="006973B5" w:rsidRDefault="00E42400" w:rsidP="00E42400">
      <w:pPr>
        <w:spacing w:after="0"/>
        <w:rPr>
          <w:rFonts w:ascii="Times New Roman" w:hAnsi="Times New Roman" w:cs="Times New Roman"/>
          <w:sz w:val="20"/>
          <w:szCs w:val="20"/>
        </w:rPr>
      </w:pPr>
      <w:r w:rsidRPr="006973B5">
        <w:rPr>
          <w:rFonts w:ascii="Times New Roman" w:hAnsi="Times New Roman" w:cs="Times New Roman"/>
          <w:sz w:val="20"/>
          <w:szCs w:val="20"/>
          <w:u w:val="single"/>
        </w:rPr>
        <w:t>Source :</w:t>
      </w:r>
      <w:r w:rsidRPr="006973B5">
        <w:rPr>
          <w:rFonts w:ascii="Times New Roman" w:hAnsi="Times New Roman" w:cs="Times New Roman"/>
          <w:sz w:val="20"/>
          <w:szCs w:val="20"/>
        </w:rPr>
        <w:t xml:space="preserve"> ONEF, à partir des données</w:t>
      </w:r>
      <w:r w:rsidRPr="006973B5">
        <w:rPr>
          <w:rFonts w:ascii="Times New Roman" w:hAnsi="Times New Roman" w:cs="Times New Roman"/>
          <w:i/>
          <w:sz w:val="20"/>
          <w:szCs w:val="20"/>
          <w:lang w:val="en-GB"/>
        </w:rPr>
        <w:t xml:space="preserve"> EMOP-2017</w:t>
      </w:r>
    </w:p>
    <w:p w:rsidR="00E42400" w:rsidRPr="006973B5" w:rsidRDefault="00E42400">
      <w:pPr>
        <w:rPr>
          <w:rFonts w:ascii="Times New Roman" w:hAnsi="Times New Roman" w:cs="Times New Roman"/>
          <w:b/>
          <w:bCs/>
          <w:iCs/>
          <w:sz w:val="20"/>
          <w:szCs w:val="20"/>
        </w:rPr>
      </w:pPr>
    </w:p>
    <w:p w:rsidR="00AD4D0A" w:rsidRDefault="00AD4D0A">
      <w:pPr>
        <w:rPr>
          <w:rFonts w:ascii="Times New Roman" w:eastAsiaTheme="majorEastAsia" w:hAnsi="Times New Roman" w:cs="Times New Roman"/>
          <w:b/>
          <w:sz w:val="26"/>
          <w:szCs w:val="26"/>
        </w:rPr>
      </w:pPr>
      <w:bookmarkStart w:id="56" w:name="_Toc511311788"/>
      <w:r>
        <w:rPr>
          <w:rFonts w:ascii="Times New Roman" w:hAnsi="Times New Roman" w:cs="Times New Roman"/>
          <w:b/>
        </w:rPr>
        <w:br w:type="page"/>
      </w:r>
    </w:p>
    <w:p w:rsidR="00E42400" w:rsidRPr="006973B5" w:rsidRDefault="00E42400" w:rsidP="00AD4D0A">
      <w:pPr>
        <w:pStyle w:val="Titre2"/>
        <w:numPr>
          <w:ilvl w:val="1"/>
          <w:numId w:val="14"/>
        </w:numPr>
        <w:ind w:left="567" w:hanging="567"/>
        <w:rPr>
          <w:rFonts w:ascii="Times New Roman" w:hAnsi="Times New Roman" w:cs="Times New Roman"/>
          <w:b/>
          <w:color w:val="auto"/>
        </w:rPr>
      </w:pPr>
      <w:bookmarkStart w:id="57" w:name="_Toc516676424"/>
      <w:r w:rsidRPr="006973B5">
        <w:rPr>
          <w:rFonts w:ascii="Times New Roman" w:hAnsi="Times New Roman" w:cs="Times New Roman"/>
          <w:b/>
          <w:color w:val="auto"/>
        </w:rPr>
        <w:lastRenderedPageBreak/>
        <w:t>Poids de la population des jeunes/adultes sur la population en âge de travailler travail</w:t>
      </w:r>
      <w:bookmarkEnd w:id="56"/>
      <w:bookmarkEnd w:id="57"/>
    </w:p>
    <w:p w:rsidR="00AD4D0A" w:rsidRDefault="00AD4D0A" w:rsidP="00B63799">
      <w:pPr>
        <w:jc w:val="both"/>
        <w:rPr>
          <w:rFonts w:ascii="Times New Roman" w:hAnsi="Times New Roman" w:cs="Times New Roman"/>
          <w:bCs/>
          <w:iCs/>
          <w:sz w:val="24"/>
          <w:szCs w:val="20"/>
        </w:rPr>
      </w:pPr>
    </w:p>
    <w:p w:rsidR="00180771" w:rsidRPr="006973B5" w:rsidRDefault="000F5AB5" w:rsidP="00B63799">
      <w:pPr>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Le paradoxe </w:t>
      </w:r>
      <w:r w:rsidR="00CC5045" w:rsidRPr="006973B5">
        <w:rPr>
          <w:rFonts w:ascii="Times New Roman" w:hAnsi="Times New Roman" w:cs="Times New Roman"/>
          <w:bCs/>
          <w:iCs/>
          <w:sz w:val="24"/>
          <w:szCs w:val="20"/>
        </w:rPr>
        <w:t xml:space="preserve">est que </w:t>
      </w:r>
      <w:r w:rsidR="00B63799" w:rsidRPr="006973B5">
        <w:rPr>
          <w:rFonts w:ascii="Times New Roman" w:hAnsi="Times New Roman" w:cs="Times New Roman"/>
          <w:bCs/>
          <w:iCs/>
          <w:sz w:val="24"/>
          <w:szCs w:val="20"/>
        </w:rPr>
        <w:t xml:space="preserve">dans la population en âge de travailler, </w:t>
      </w:r>
      <w:r w:rsidR="00180771" w:rsidRPr="006973B5">
        <w:rPr>
          <w:rFonts w:ascii="Times New Roman" w:hAnsi="Times New Roman" w:cs="Times New Roman"/>
          <w:bCs/>
          <w:iCs/>
          <w:sz w:val="24"/>
          <w:szCs w:val="20"/>
        </w:rPr>
        <w:t>les adultes représentent 68,2% contre 31</w:t>
      </w:r>
      <w:r w:rsidR="00CC5045" w:rsidRPr="006973B5">
        <w:rPr>
          <w:rFonts w:ascii="Times New Roman" w:hAnsi="Times New Roman" w:cs="Times New Roman"/>
          <w:bCs/>
          <w:iCs/>
          <w:sz w:val="24"/>
          <w:szCs w:val="20"/>
        </w:rPr>
        <w:t xml:space="preserve">,8% </w:t>
      </w:r>
      <w:r w:rsidR="00332C8F" w:rsidRPr="006973B5">
        <w:rPr>
          <w:rFonts w:ascii="Times New Roman" w:hAnsi="Times New Roman" w:cs="Times New Roman"/>
          <w:bCs/>
          <w:iCs/>
          <w:sz w:val="24"/>
          <w:szCs w:val="20"/>
        </w:rPr>
        <w:t>des</w:t>
      </w:r>
      <w:r w:rsidR="00180771" w:rsidRPr="006973B5">
        <w:rPr>
          <w:rFonts w:ascii="Times New Roman" w:hAnsi="Times New Roman" w:cs="Times New Roman"/>
          <w:bCs/>
          <w:iCs/>
          <w:sz w:val="24"/>
          <w:szCs w:val="20"/>
        </w:rPr>
        <w:t xml:space="preserve"> jeunes</w:t>
      </w:r>
      <w:r w:rsidR="00FB63D0" w:rsidRPr="006973B5">
        <w:rPr>
          <w:rFonts w:ascii="Times New Roman" w:hAnsi="Times New Roman" w:cs="Times New Roman"/>
          <w:bCs/>
          <w:iCs/>
          <w:sz w:val="24"/>
          <w:szCs w:val="20"/>
        </w:rPr>
        <w:t xml:space="preserve"> (tableau 33)</w:t>
      </w:r>
      <w:r w:rsidR="00CC5045" w:rsidRPr="006973B5">
        <w:rPr>
          <w:rFonts w:ascii="Times New Roman" w:hAnsi="Times New Roman" w:cs="Times New Roman"/>
          <w:bCs/>
          <w:iCs/>
          <w:sz w:val="24"/>
          <w:szCs w:val="20"/>
        </w:rPr>
        <w:t xml:space="preserve">. </w:t>
      </w:r>
      <w:r w:rsidR="00180771" w:rsidRPr="006973B5">
        <w:rPr>
          <w:rFonts w:ascii="Times New Roman" w:hAnsi="Times New Roman" w:cs="Times New Roman"/>
          <w:bCs/>
          <w:iCs/>
          <w:sz w:val="24"/>
          <w:szCs w:val="20"/>
        </w:rPr>
        <w:t xml:space="preserve">Et pour autant ces derniers sont plus touchés par le chômage que les adultes. </w:t>
      </w:r>
    </w:p>
    <w:p w:rsidR="00E42400" w:rsidRPr="006973B5" w:rsidRDefault="00E42400" w:rsidP="00E42400">
      <w:pPr>
        <w:spacing w:after="0"/>
        <w:rPr>
          <w:rFonts w:ascii="Times New Roman" w:hAnsi="Times New Roman" w:cs="Times New Roman"/>
          <w:sz w:val="20"/>
          <w:szCs w:val="20"/>
        </w:rPr>
      </w:pPr>
      <w:bookmarkStart w:id="58" w:name="_Toc511310956"/>
      <w:bookmarkStart w:id="59" w:name="_Toc516676467"/>
      <w:r w:rsidRPr="006973B5">
        <w:rPr>
          <w:rFonts w:ascii="Times New Roman" w:hAnsi="Times New Roman" w:cs="Times New Roman"/>
          <w:bCs/>
          <w:iCs/>
          <w:sz w:val="20"/>
          <w:szCs w:val="20"/>
        </w:rPr>
        <w:t xml:space="preserve">Tableau </w:t>
      </w:r>
      <w:r w:rsidR="00211B05" w:rsidRPr="006973B5">
        <w:rPr>
          <w:rFonts w:ascii="Times New Roman" w:hAnsi="Times New Roman" w:cs="Times New Roman"/>
          <w:bCs/>
          <w:iCs/>
          <w:sz w:val="20"/>
          <w:szCs w:val="20"/>
        </w:rPr>
        <w:fldChar w:fldCharType="begin"/>
      </w:r>
      <w:r w:rsidR="00211B05" w:rsidRPr="006973B5">
        <w:rPr>
          <w:rFonts w:ascii="Times New Roman" w:hAnsi="Times New Roman" w:cs="Times New Roman"/>
          <w:bCs/>
          <w:iCs/>
          <w:sz w:val="20"/>
          <w:szCs w:val="20"/>
        </w:rPr>
        <w:instrText xml:space="preserve"> SEQ Tableau \* ARABIC </w:instrText>
      </w:r>
      <w:r w:rsidR="00211B05" w:rsidRPr="006973B5">
        <w:rPr>
          <w:rFonts w:ascii="Times New Roman" w:hAnsi="Times New Roman" w:cs="Times New Roman"/>
          <w:bCs/>
          <w:iCs/>
          <w:sz w:val="20"/>
          <w:szCs w:val="20"/>
        </w:rPr>
        <w:fldChar w:fldCharType="separate"/>
      </w:r>
      <w:r w:rsidR="00211B05" w:rsidRPr="006973B5">
        <w:rPr>
          <w:rFonts w:ascii="Times New Roman" w:hAnsi="Times New Roman" w:cs="Times New Roman"/>
          <w:bCs/>
          <w:iCs/>
          <w:noProof/>
          <w:sz w:val="20"/>
          <w:szCs w:val="20"/>
        </w:rPr>
        <w:t>15</w:t>
      </w:r>
      <w:r w:rsidR="00211B05" w:rsidRPr="006973B5">
        <w:rPr>
          <w:rFonts w:ascii="Times New Roman" w:hAnsi="Times New Roman" w:cs="Times New Roman"/>
          <w:bCs/>
          <w:iCs/>
          <w:sz w:val="20"/>
          <w:szCs w:val="20"/>
        </w:rPr>
        <w:fldChar w:fldCharType="end"/>
      </w:r>
      <w:r w:rsidRPr="006973B5">
        <w:rPr>
          <w:rFonts w:ascii="Times New Roman" w:hAnsi="Times New Roman" w:cs="Times New Roman"/>
          <w:bCs/>
          <w:iCs/>
          <w:sz w:val="20"/>
          <w:szCs w:val="20"/>
        </w:rPr>
        <w:t>. Structure de la population en âge de travailler entre jeunes et adultes (année 2017)</w:t>
      </w:r>
      <w:bookmarkEnd w:id="58"/>
      <w:bookmarkEnd w:id="59"/>
    </w:p>
    <w:tbl>
      <w:tblPr>
        <w:tblStyle w:val="Style1"/>
        <w:tblW w:w="9995" w:type="dxa"/>
        <w:tblLayout w:type="fixed"/>
        <w:tblLook w:val="04A0" w:firstRow="1" w:lastRow="0" w:firstColumn="1" w:lastColumn="0" w:noHBand="0" w:noVBand="1"/>
      </w:tblPr>
      <w:tblGrid>
        <w:gridCol w:w="1842"/>
        <w:gridCol w:w="2001"/>
        <w:gridCol w:w="1084"/>
        <w:gridCol w:w="1003"/>
        <w:gridCol w:w="921"/>
        <w:gridCol w:w="1075"/>
        <w:gridCol w:w="1029"/>
        <w:gridCol w:w="1040"/>
      </w:tblGrid>
      <w:tr w:rsidR="00E42400" w:rsidRPr="006973B5" w:rsidTr="004620EF">
        <w:trPr>
          <w:cnfStyle w:val="100000000000" w:firstRow="1" w:lastRow="0" w:firstColumn="0" w:lastColumn="0" w:oddVBand="0" w:evenVBand="0" w:oddHBand="0" w:evenHBand="0" w:firstRowFirstColumn="0" w:firstRowLastColumn="0" w:lastRowFirstColumn="0" w:lastRowLastColumn="0"/>
          <w:trHeight w:val="227"/>
        </w:trPr>
        <w:tc>
          <w:tcPr>
            <w:tcW w:w="3843" w:type="dxa"/>
            <w:gridSpan w:val="2"/>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 </w:t>
            </w:r>
          </w:p>
        </w:tc>
        <w:tc>
          <w:tcPr>
            <w:tcW w:w="3008" w:type="dxa"/>
            <w:gridSpan w:val="3"/>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Proportion des jeunes sur la population en âge de travailler</w:t>
            </w:r>
          </w:p>
        </w:tc>
        <w:tc>
          <w:tcPr>
            <w:tcW w:w="3144" w:type="dxa"/>
            <w:gridSpan w:val="3"/>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Proportion des adultes sur la population en âge de travailler</w:t>
            </w:r>
          </w:p>
        </w:tc>
      </w:tr>
      <w:tr w:rsidR="00E42400" w:rsidRPr="006973B5" w:rsidTr="004620EF">
        <w:trPr>
          <w:trHeight w:val="227"/>
        </w:trPr>
        <w:tc>
          <w:tcPr>
            <w:tcW w:w="3843" w:type="dxa"/>
            <w:gridSpan w:val="2"/>
            <w:vMerge/>
            <w:tcBorders>
              <w:bottom w:val="single" w:sz="4" w:space="0" w:color="70AD47" w:themeColor="accent6"/>
            </w:tcBorders>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1084" w:type="dxa"/>
            <w:tcBorders>
              <w:bottom w:val="single" w:sz="4" w:space="0" w:color="70AD47" w:themeColor="accent6"/>
            </w:tcBorders>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Homme</w:t>
            </w:r>
          </w:p>
        </w:tc>
        <w:tc>
          <w:tcPr>
            <w:tcW w:w="1003" w:type="dxa"/>
            <w:tcBorders>
              <w:bottom w:val="single" w:sz="4" w:space="0" w:color="70AD47" w:themeColor="accent6"/>
            </w:tcBorders>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Femme</w:t>
            </w:r>
          </w:p>
        </w:tc>
        <w:tc>
          <w:tcPr>
            <w:tcW w:w="921" w:type="dxa"/>
            <w:tcBorders>
              <w:bottom w:val="single" w:sz="4" w:space="0" w:color="70AD47" w:themeColor="accent6"/>
            </w:tcBorders>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Total</w:t>
            </w:r>
          </w:p>
        </w:tc>
        <w:tc>
          <w:tcPr>
            <w:tcW w:w="1075" w:type="dxa"/>
            <w:tcBorders>
              <w:bottom w:val="single" w:sz="4" w:space="0" w:color="70AD47" w:themeColor="accent6"/>
            </w:tcBorders>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Homme</w:t>
            </w:r>
          </w:p>
        </w:tc>
        <w:tc>
          <w:tcPr>
            <w:tcW w:w="1029" w:type="dxa"/>
            <w:tcBorders>
              <w:bottom w:val="single" w:sz="4" w:space="0" w:color="70AD47" w:themeColor="accent6"/>
            </w:tcBorders>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Femme</w:t>
            </w:r>
          </w:p>
        </w:tc>
        <w:tc>
          <w:tcPr>
            <w:tcW w:w="1040" w:type="dxa"/>
            <w:tcBorders>
              <w:bottom w:val="single" w:sz="4" w:space="0" w:color="70AD47" w:themeColor="accent6"/>
            </w:tcBorders>
            <w:hideMark/>
          </w:tcPr>
          <w:p w:rsidR="00E42400" w:rsidRPr="006973B5" w:rsidRDefault="00E42400" w:rsidP="004620EF">
            <w:pPr>
              <w:jc w:val="cente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Total</w:t>
            </w:r>
          </w:p>
        </w:tc>
      </w:tr>
      <w:tr w:rsidR="00E42400" w:rsidRPr="006973B5" w:rsidTr="004620EF">
        <w:trPr>
          <w:trHeight w:val="227"/>
        </w:trPr>
        <w:tc>
          <w:tcPr>
            <w:tcW w:w="1842" w:type="dxa"/>
            <w:vMerge w:val="restart"/>
            <w:tcBorders>
              <w:top w:val="single" w:sz="4" w:space="0" w:color="70AD47" w:themeColor="accent6"/>
              <w:bottom w:val="nil"/>
            </w:tcBorders>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Zone de résidence</w:t>
            </w:r>
          </w:p>
        </w:tc>
        <w:tc>
          <w:tcPr>
            <w:tcW w:w="2001" w:type="dxa"/>
            <w:tcBorders>
              <w:top w:val="single" w:sz="4" w:space="0" w:color="70AD47" w:themeColor="accent6"/>
              <w:bottom w:val="nil"/>
            </w:tcBorders>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Bamako</w:t>
            </w:r>
          </w:p>
        </w:tc>
        <w:tc>
          <w:tcPr>
            <w:tcW w:w="1084" w:type="dxa"/>
            <w:tcBorders>
              <w:top w:val="single" w:sz="4" w:space="0" w:color="70AD47" w:themeColor="accent6"/>
              <w:bottom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31,3</w:t>
            </w:r>
          </w:p>
        </w:tc>
        <w:tc>
          <w:tcPr>
            <w:tcW w:w="1003" w:type="dxa"/>
            <w:tcBorders>
              <w:top w:val="single" w:sz="4" w:space="0" w:color="70AD47" w:themeColor="accent6"/>
              <w:bottom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40,0</w:t>
            </w:r>
          </w:p>
        </w:tc>
        <w:tc>
          <w:tcPr>
            <w:tcW w:w="921" w:type="dxa"/>
            <w:tcBorders>
              <w:top w:val="single" w:sz="4" w:space="0" w:color="70AD47" w:themeColor="accent6"/>
              <w:bottom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35,9</w:t>
            </w:r>
          </w:p>
        </w:tc>
        <w:tc>
          <w:tcPr>
            <w:tcW w:w="1075" w:type="dxa"/>
            <w:tcBorders>
              <w:top w:val="single" w:sz="4" w:space="0" w:color="70AD47" w:themeColor="accent6"/>
              <w:bottom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68,7</w:t>
            </w:r>
          </w:p>
        </w:tc>
        <w:tc>
          <w:tcPr>
            <w:tcW w:w="1029" w:type="dxa"/>
            <w:tcBorders>
              <w:top w:val="single" w:sz="4" w:space="0" w:color="70AD47" w:themeColor="accent6"/>
              <w:bottom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60,0</w:t>
            </w:r>
          </w:p>
        </w:tc>
        <w:tc>
          <w:tcPr>
            <w:tcW w:w="1040" w:type="dxa"/>
            <w:tcBorders>
              <w:top w:val="single" w:sz="4" w:space="0" w:color="70AD47" w:themeColor="accent6"/>
              <w:bottom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64,1</w:t>
            </w:r>
          </w:p>
        </w:tc>
      </w:tr>
      <w:tr w:rsidR="00E42400" w:rsidRPr="006973B5" w:rsidTr="004620EF">
        <w:trPr>
          <w:trHeight w:val="227"/>
        </w:trPr>
        <w:tc>
          <w:tcPr>
            <w:tcW w:w="1842" w:type="dxa"/>
            <w:vMerge/>
            <w:tcBorders>
              <w:top w:val="nil"/>
            </w:tcBorders>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001" w:type="dxa"/>
            <w:tcBorders>
              <w:top w:val="nil"/>
            </w:tcBorders>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Autre urbain</w:t>
            </w:r>
          </w:p>
        </w:tc>
        <w:tc>
          <w:tcPr>
            <w:tcW w:w="1084" w:type="dxa"/>
            <w:tcBorders>
              <w:top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35,1</w:t>
            </w:r>
          </w:p>
        </w:tc>
        <w:tc>
          <w:tcPr>
            <w:tcW w:w="1003" w:type="dxa"/>
            <w:tcBorders>
              <w:top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37,4</w:t>
            </w:r>
          </w:p>
        </w:tc>
        <w:tc>
          <w:tcPr>
            <w:tcW w:w="921" w:type="dxa"/>
            <w:tcBorders>
              <w:top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36,3</w:t>
            </w:r>
          </w:p>
        </w:tc>
        <w:tc>
          <w:tcPr>
            <w:tcW w:w="1075" w:type="dxa"/>
            <w:tcBorders>
              <w:top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64,9</w:t>
            </w:r>
          </w:p>
        </w:tc>
        <w:tc>
          <w:tcPr>
            <w:tcW w:w="1029" w:type="dxa"/>
            <w:tcBorders>
              <w:top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62,6</w:t>
            </w:r>
          </w:p>
        </w:tc>
        <w:tc>
          <w:tcPr>
            <w:tcW w:w="1040" w:type="dxa"/>
            <w:tcBorders>
              <w:top w:val="nil"/>
            </w:tcBorders>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63,7</w:t>
            </w:r>
          </w:p>
        </w:tc>
      </w:tr>
      <w:tr w:rsidR="00E42400" w:rsidRPr="006973B5" w:rsidTr="004620EF">
        <w:trPr>
          <w:trHeight w:val="227"/>
        </w:trPr>
        <w:tc>
          <w:tcPr>
            <w:tcW w:w="1842"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0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Rural</w:t>
            </w:r>
          </w:p>
        </w:tc>
        <w:tc>
          <w:tcPr>
            <w:tcW w:w="108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31,3</w:t>
            </w:r>
          </w:p>
        </w:tc>
        <w:tc>
          <w:tcPr>
            <w:tcW w:w="100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29,3</w:t>
            </w:r>
          </w:p>
        </w:tc>
        <w:tc>
          <w:tcPr>
            <w:tcW w:w="92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30,2</w:t>
            </w:r>
          </w:p>
        </w:tc>
        <w:tc>
          <w:tcPr>
            <w:tcW w:w="1075"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68,7</w:t>
            </w:r>
          </w:p>
        </w:tc>
        <w:tc>
          <w:tcPr>
            <w:tcW w:w="102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70,7</w:t>
            </w:r>
          </w:p>
        </w:tc>
        <w:tc>
          <w:tcPr>
            <w:tcW w:w="104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69,8</w:t>
            </w:r>
          </w:p>
        </w:tc>
      </w:tr>
      <w:tr w:rsidR="00E42400" w:rsidRPr="006973B5" w:rsidTr="004620EF">
        <w:trPr>
          <w:trHeight w:val="227"/>
        </w:trPr>
        <w:tc>
          <w:tcPr>
            <w:tcW w:w="1842"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Région</w:t>
            </w:r>
          </w:p>
        </w:tc>
        <w:tc>
          <w:tcPr>
            <w:tcW w:w="20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Kayes</w:t>
            </w:r>
          </w:p>
        </w:tc>
        <w:tc>
          <w:tcPr>
            <w:tcW w:w="108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35,2</w:t>
            </w:r>
          </w:p>
        </w:tc>
        <w:tc>
          <w:tcPr>
            <w:tcW w:w="100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32,0</w:t>
            </w:r>
          </w:p>
        </w:tc>
        <w:tc>
          <w:tcPr>
            <w:tcW w:w="92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33,4</w:t>
            </w:r>
          </w:p>
        </w:tc>
        <w:tc>
          <w:tcPr>
            <w:tcW w:w="1075"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64,8</w:t>
            </w:r>
          </w:p>
        </w:tc>
        <w:tc>
          <w:tcPr>
            <w:tcW w:w="102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68,0</w:t>
            </w:r>
          </w:p>
        </w:tc>
        <w:tc>
          <w:tcPr>
            <w:tcW w:w="104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66,6</w:t>
            </w:r>
          </w:p>
        </w:tc>
      </w:tr>
      <w:tr w:rsidR="00E42400" w:rsidRPr="006973B5" w:rsidTr="004620EF">
        <w:trPr>
          <w:trHeight w:val="227"/>
        </w:trPr>
        <w:tc>
          <w:tcPr>
            <w:tcW w:w="1842"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0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Koulikoro</w:t>
            </w:r>
          </w:p>
        </w:tc>
        <w:tc>
          <w:tcPr>
            <w:tcW w:w="108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35,3</w:t>
            </w:r>
          </w:p>
        </w:tc>
        <w:tc>
          <w:tcPr>
            <w:tcW w:w="100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34,2</w:t>
            </w:r>
          </w:p>
        </w:tc>
        <w:tc>
          <w:tcPr>
            <w:tcW w:w="92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34,7</w:t>
            </w:r>
          </w:p>
        </w:tc>
        <w:tc>
          <w:tcPr>
            <w:tcW w:w="1075"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64,7</w:t>
            </w:r>
          </w:p>
        </w:tc>
        <w:tc>
          <w:tcPr>
            <w:tcW w:w="102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65,8</w:t>
            </w:r>
          </w:p>
        </w:tc>
        <w:tc>
          <w:tcPr>
            <w:tcW w:w="104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65,3</w:t>
            </w:r>
          </w:p>
        </w:tc>
      </w:tr>
      <w:tr w:rsidR="00E42400" w:rsidRPr="006973B5" w:rsidTr="004620EF">
        <w:trPr>
          <w:trHeight w:val="227"/>
        </w:trPr>
        <w:tc>
          <w:tcPr>
            <w:tcW w:w="1842"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0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Sikasso</w:t>
            </w:r>
          </w:p>
        </w:tc>
        <w:tc>
          <w:tcPr>
            <w:tcW w:w="108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35,5</w:t>
            </w:r>
          </w:p>
        </w:tc>
        <w:tc>
          <w:tcPr>
            <w:tcW w:w="100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32,1</w:t>
            </w:r>
          </w:p>
        </w:tc>
        <w:tc>
          <w:tcPr>
            <w:tcW w:w="92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33,7</w:t>
            </w:r>
          </w:p>
        </w:tc>
        <w:tc>
          <w:tcPr>
            <w:tcW w:w="1075"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64,5</w:t>
            </w:r>
          </w:p>
        </w:tc>
        <w:tc>
          <w:tcPr>
            <w:tcW w:w="102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67,9</w:t>
            </w:r>
          </w:p>
        </w:tc>
        <w:tc>
          <w:tcPr>
            <w:tcW w:w="104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66,3</w:t>
            </w:r>
          </w:p>
        </w:tc>
      </w:tr>
      <w:tr w:rsidR="00E42400" w:rsidRPr="006973B5" w:rsidTr="004620EF">
        <w:trPr>
          <w:trHeight w:val="227"/>
        </w:trPr>
        <w:tc>
          <w:tcPr>
            <w:tcW w:w="1842"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0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Ségou</w:t>
            </w:r>
          </w:p>
        </w:tc>
        <w:tc>
          <w:tcPr>
            <w:tcW w:w="108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31,7</w:t>
            </w:r>
          </w:p>
        </w:tc>
        <w:tc>
          <w:tcPr>
            <w:tcW w:w="100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25,6</w:t>
            </w:r>
          </w:p>
        </w:tc>
        <w:tc>
          <w:tcPr>
            <w:tcW w:w="92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28,4</w:t>
            </w:r>
          </w:p>
        </w:tc>
        <w:tc>
          <w:tcPr>
            <w:tcW w:w="1075"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68,3</w:t>
            </w:r>
          </w:p>
        </w:tc>
        <w:tc>
          <w:tcPr>
            <w:tcW w:w="102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74,4</w:t>
            </w:r>
          </w:p>
        </w:tc>
        <w:tc>
          <w:tcPr>
            <w:tcW w:w="104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71,6</w:t>
            </w:r>
          </w:p>
        </w:tc>
      </w:tr>
      <w:tr w:rsidR="00E42400" w:rsidRPr="006973B5" w:rsidTr="004620EF">
        <w:trPr>
          <w:trHeight w:val="227"/>
        </w:trPr>
        <w:tc>
          <w:tcPr>
            <w:tcW w:w="1842"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0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Mopti</w:t>
            </w:r>
          </w:p>
        </w:tc>
        <w:tc>
          <w:tcPr>
            <w:tcW w:w="108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23,7</w:t>
            </w:r>
          </w:p>
        </w:tc>
        <w:tc>
          <w:tcPr>
            <w:tcW w:w="100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27,2</w:t>
            </w:r>
          </w:p>
        </w:tc>
        <w:tc>
          <w:tcPr>
            <w:tcW w:w="92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25,6</w:t>
            </w:r>
          </w:p>
        </w:tc>
        <w:tc>
          <w:tcPr>
            <w:tcW w:w="1075"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76,3</w:t>
            </w:r>
          </w:p>
        </w:tc>
        <w:tc>
          <w:tcPr>
            <w:tcW w:w="102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72,8</w:t>
            </w:r>
          </w:p>
        </w:tc>
        <w:tc>
          <w:tcPr>
            <w:tcW w:w="104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74,4</w:t>
            </w:r>
          </w:p>
        </w:tc>
      </w:tr>
      <w:tr w:rsidR="00E42400" w:rsidRPr="006973B5" w:rsidTr="004620EF">
        <w:trPr>
          <w:trHeight w:val="227"/>
        </w:trPr>
        <w:tc>
          <w:tcPr>
            <w:tcW w:w="1842"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0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Tombouctou</w:t>
            </w:r>
          </w:p>
        </w:tc>
        <w:tc>
          <w:tcPr>
            <w:tcW w:w="108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20,0</w:t>
            </w:r>
          </w:p>
        </w:tc>
        <w:tc>
          <w:tcPr>
            <w:tcW w:w="100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26,6</w:t>
            </w:r>
          </w:p>
        </w:tc>
        <w:tc>
          <w:tcPr>
            <w:tcW w:w="92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23,5</w:t>
            </w:r>
          </w:p>
        </w:tc>
        <w:tc>
          <w:tcPr>
            <w:tcW w:w="1075"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80,0</w:t>
            </w:r>
          </w:p>
        </w:tc>
        <w:tc>
          <w:tcPr>
            <w:tcW w:w="102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73,4</w:t>
            </w:r>
          </w:p>
        </w:tc>
        <w:tc>
          <w:tcPr>
            <w:tcW w:w="104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76,5</w:t>
            </w:r>
          </w:p>
        </w:tc>
      </w:tr>
      <w:tr w:rsidR="00E42400" w:rsidRPr="006973B5" w:rsidTr="004620EF">
        <w:trPr>
          <w:trHeight w:val="227"/>
        </w:trPr>
        <w:tc>
          <w:tcPr>
            <w:tcW w:w="1842"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0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Gao</w:t>
            </w:r>
          </w:p>
        </w:tc>
        <w:tc>
          <w:tcPr>
            <w:tcW w:w="108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33,0</w:t>
            </w:r>
          </w:p>
        </w:tc>
        <w:tc>
          <w:tcPr>
            <w:tcW w:w="100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38,0</w:t>
            </w:r>
          </w:p>
        </w:tc>
        <w:tc>
          <w:tcPr>
            <w:tcW w:w="92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35,8</w:t>
            </w:r>
          </w:p>
        </w:tc>
        <w:tc>
          <w:tcPr>
            <w:tcW w:w="1075"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67,0</w:t>
            </w:r>
          </w:p>
        </w:tc>
        <w:tc>
          <w:tcPr>
            <w:tcW w:w="102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62,0</w:t>
            </w:r>
          </w:p>
        </w:tc>
        <w:tc>
          <w:tcPr>
            <w:tcW w:w="104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64,2</w:t>
            </w:r>
          </w:p>
        </w:tc>
      </w:tr>
      <w:tr w:rsidR="00E42400" w:rsidRPr="006973B5" w:rsidTr="004620EF">
        <w:trPr>
          <w:trHeight w:val="227"/>
        </w:trPr>
        <w:tc>
          <w:tcPr>
            <w:tcW w:w="1842"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0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Bamako</w:t>
            </w:r>
          </w:p>
        </w:tc>
        <w:tc>
          <w:tcPr>
            <w:tcW w:w="108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31,3</w:t>
            </w:r>
          </w:p>
        </w:tc>
        <w:tc>
          <w:tcPr>
            <w:tcW w:w="100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40,0</w:t>
            </w:r>
          </w:p>
        </w:tc>
        <w:tc>
          <w:tcPr>
            <w:tcW w:w="92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35,9</w:t>
            </w:r>
          </w:p>
        </w:tc>
        <w:tc>
          <w:tcPr>
            <w:tcW w:w="1075"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68,7</w:t>
            </w:r>
          </w:p>
        </w:tc>
        <w:tc>
          <w:tcPr>
            <w:tcW w:w="102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60,0</w:t>
            </w:r>
          </w:p>
        </w:tc>
        <w:tc>
          <w:tcPr>
            <w:tcW w:w="104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64,1</w:t>
            </w:r>
          </w:p>
        </w:tc>
      </w:tr>
      <w:tr w:rsidR="00E42400" w:rsidRPr="006973B5" w:rsidTr="004620EF">
        <w:trPr>
          <w:trHeight w:val="227"/>
        </w:trPr>
        <w:tc>
          <w:tcPr>
            <w:tcW w:w="1842"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Statut de pauvreté</w:t>
            </w:r>
          </w:p>
        </w:tc>
        <w:tc>
          <w:tcPr>
            <w:tcW w:w="20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Non pauvres</w:t>
            </w:r>
          </w:p>
        </w:tc>
        <w:tc>
          <w:tcPr>
            <w:tcW w:w="1084"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003"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921"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075"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029"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040"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r>
      <w:tr w:rsidR="00E42400" w:rsidRPr="006973B5" w:rsidTr="004620EF">
        <w:trPr>
          <w:trHeight w:val="227"/>
        </w:trPr>
        <w:tc>
          <w:tcPr>
            <w:tcW w:w="1842"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0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Pauvres</w:t>
            </w:r>
          </w:p>
        </w:tc>
        <w:tc>
          <w:tcPr>
            <w:tcW w:w="1084"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003"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921"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075"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029"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c>
          <w:tcPr>
            <w:tcW w:w="1040" w:type="dxa"/>
            <w:noWrap/>
          </w:tcPr>
          <w:p w:rsidR="00E42400" w:rsidRPr="006973B5" w:rsidRDefault="00E42400" w:rsidP="004620EF">
            <w:pPr>
              <w:jc w:val="right"/>
              <w:rPr>
                <w:sz w:val="20"/>
                <w:szCs w:val="20"/>
              </w:rPr>
            </w:pPr>
            <w:r w:rsidRPr="006973B5">
              <w:rPr>
                <w:rFonts w:ascii="Times New Roman" w:hAnsi="Times New Roman" w:cs="Times New Roman"/>
                <w:color w:val="000000"/>
                <w:sz w:val="20"/>
                <w:szCs w:val="20"/>
              </w:rPr>
              <w:t>–</w:t>
            </w:r>
          </w:p>
        </w:tc>
      </w:tr>
      <w:tr w:rsidR="00E42400" w:rsidRPr="006973B5" w:rsidTr="004620EF">
        <w:trPr>
          <w:trHeight w:val="227"/>
        </w:trPr>
        <w:tc>
          <w:tcPr>
            <w:tcW w:w="1842" w:type="dxa"/>
            <w:vMerge w:val="restart"/>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Niveau d'éducation</w:t>
            </w:r>
          </w:p>
        </w:tc>
        <w:tc>
          <w:tcPr>
            <w:tcW w:w="20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Aucun</w:t>
            </w:r>
          </w:p>
        </w:tc>
        <w:tc>
          <w:tcPr>
            <w:tcW w:w="108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21,1</w:t>
            </w:r>
          </w:p>
        </w:tc>
        <w:tc>
          <w:tcPr>
            <w:tcW w:w="100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23,8</w:t>
            </w:r>
          </w:p>
        </w:tc>
        <w:tc>
          <w:tcPr>
            <w:tcW w:w="92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22,7</w:t>
            </w:r>
          </w:p>
        </w:tc>
        <w:tc>
          <w:tcPr>
            <w:tcW w:w="1075"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78,9</w:t>
            </w:r>
          </w:p>
        </w:tc>
        <w:tc>
          <w:tcPr>
            <w:tcW w:w="102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76,2</w:t>
            </w:r>
          </w:p>
        </w:tc>
        <w:tc>
          <w:tcPr>
            <w:tcW w:w="104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77,3</w:t>
            </w:r>
          </w:p>
        </w:tc>
      </w:tr>
      <w:tr w:rsidR="00E42400" w:rsidRPr="006973B5" w:rsidTr="004620EF">
        <w:trPr>
          <w:trHeight w:val="227"/>
        </w:trPr>
        <w:tc>
          <w:tcPr>
            <w:tcW w:w="1842"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0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Fondamental</w:t>
            </w:r>
          </w:p>
        </w:tc>
        <w:tc>
          <w:tcPr>
            <w:tcW w:w="108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54,5</w:t>
            </w:r>
          </w:p>
        </w:tc>
        <w:tc>
          <w:tcPr>
            <w:tcW w:w="100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57,4</w:t>
            </w:r>
          </w:p>
        </w:tc>
        <w:tc>
          <w:tcPr>
            <w:tcW w:w="92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55,9</w:t>
            </w:r>
          </w:p>
        </w:tc>
        <w:tc>
          <w:tcPr>
            <w:tcW w:w="1075"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45,5</w:t>
            </w:r>
          </w:p>
        </w:tc>
        <w:tc>
          <w:tcPr>
            <w:tcW w:w="102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42,6</w:t>
            </w:r>
          </w:p>
        </w:tc>
        <w:tc>
          <w:tcPr>
            <w:tcW w:w="104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44,1</w:t>
            </w:r>
          </w:p>
        </w:tc>
      </w:tr>
      <w:tr w:rsidR="00E42400" w:rsidRPr="006973B5" w:rsidTr="004620EF">
        <w:trPr>
          <w:trHeight w:val="227"/>
        </w:trPr>
        <w:tc>
          <w:tcPr>
            <w:tcW w:w="1842"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0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Secondaire</w:t>
            </w:r>
          </w:p>
        </w:tc>
        <w:tc>
          <w:tcPr>
            <w:tcW w:w="108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23,1</w:t>
            </w:r>
          </w:p>
        </w:tc>
        <w:tc>
          <w:tcPr>
            <w:tcW w:w="100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28,9</w:t>
            </w:r>
          </w:p>
        </w:tc>
        <w:tc>
          <w:tcPr>
            <w:tcW w:w="92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25,1</w:t>
            </w:r>
          </w:p>
        </w:tc>
        <w:tc>
          <w:tcPr>
            <w:tcW w:w="1075"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76,9</w:t>
            </w:r>
          </w:p>
        </w:tc>
        <w:tc>
          <w:tcPr>
            <w:tcW w:w="102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71,1</w:t>
            </w:r>
          </w:p>
        </w:tc>
        <w:tc>
          <w:tcPr>
            <w:tcW w:w="104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74,9</w:t>
            </w:r>
          </w:p>
        </w:tc>
      </w:tr>
      <w:tr w:rsidR="00E42400" w:rsidRPr="006973B5" w:rsidTr="004620EF">
        <w:trPr>
          <w:trHeight w:val="227"/>
        </w:trPr>
        <w:tc>
          <w:tcPr>
            <w:tcW w:w="1842"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0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Supérieur</w:t>
            </w:r>
          </w:p>
        </w:tc>
        <w:tc>
          <w:tcPr>
            <w:tcW w:w="108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5,2</w:t>
            </w:r>
          </w:p>
        </w:tc>
        <w:tc>
          <w:tcPr>
            <w:tcW w:w="100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9,0</w:t>
            </w:r>
          </w:p>
        </w:tc>
        <w:tc>
          <w:tcPr>
            <w:tcW w:w="92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6,1</w:t>
            </w:r>
          </w:p>
        </w:tc>
        <w:tc>
          <w:tcPr>
            <w:tcW w:w="1075"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94,8</w:t>
            </w:r>
          </w:p>
        </w:tc>
        <w:tc>
          <w:tcPr>
            <w:tcW w:w="102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91,0</w:t>
            </w:r>
          </w:p>
        </w:tc>
        <w:tc>
          <w:tcPr>
            <w:tcW w:w="104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93,9</w:t>
            </w:r>
          </w:p>
        </w:tc>
      </w:tr>
      <w:tr w:rsidR="00E42400" w:rsidRPr="006973B5" w:rsidTr="004620EF">
        <w:trPr>
          <w:trHeight w:val="227"/>
        </w:trPr>
        <w:tc>
          <w:tcPr>
            <w:tcW w:w="1842" w:type="dxa"/>
            <w:vMerge/>
            <w:hideMark/>
          </w:tcPr>
          <w:p w:rsidR="00E42400" w:rsidRPr="006973B5" w:rsidRDefault="00E42400" w:rsidP="004620EF">
            <w:pPr>
              <w:rPr>
                <w:rFonts w:ascii="Times New Roman" w:eastAsia="Times New Roman" w:hAnsi="Times New Roman" w:cs="Times New Roman"/>
                <w:color w:val="000000"/>
                <w:sz w:val="20"/>
                <w:szCs w:val="20"/>
                <w:lang w:eastAsia="fr-FR"/>
              </w:rPr>
            </w:pPr>
          </w:p>
        </w:tc>
        <w:tc>
          <w:tcPr>
            <w:tcW w:w="2001" w:type="dxa"/>
            <w:hideMark/>
          </w:tcPr>
          <w:p w:rsidR="00E42400" w:rsidRPr="006973B5" w:rsidRDefault="00E42400" w:rsidP="004620EF">
            <w:pPr>
              <w:rPr>
                <w:rFonts w:ascii="Times New Roman" w:eastAsia="Times New Roman" w:hAnsi="Times New Roman" w:cs="Times New Roman"/>
                <w:color w:val="000000"/>
                <w:sz w:val="20"/>
                <w:szCs w:val="20"/>
                <w:lang w:eastAsia="fr-FR"/>
              </w:rPr>
            </w:pPr>
            <w:r w:rsidRPr="006973B5">
              <w:rPr>
                <w:rFonts w:ascii="Times New Roman" w:eastAsia="Times New Roman" w:hAnsi="Times New Roman" w:cs="Times New Roman"/>
                <w:color w:val="000000"/>
                <w:sz w:val="20"/>
                <w:szCs w:val="20"/>
                <w:lang w:eastAsia="fr-FR"/>
              </w:rPr>
              <w:t>Total</w:t>
            </w:r>
          </w:p>
        </w:tc>
        <w:tc>
          <w:tcPr>
            <w:tcW w:w="1084"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31,8</w:t>
            </w:r>
          </w:p>
        </w:tc>
        <w:tc>
          <w:tcPr>
            <w:tcW w:w="1003"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31,8</w:t>
            </w:r>
          </w:p>
        </w:tc>
        <w:tc>
          <w:tcPr>
            <w:tcW w:w="921"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31,8</w:t>
            </w:r>
          </w:p>
        </w:tc>
        <w:tc>
          <w:tcPr>
            <w:tcW w:w="1075"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68,2</w:t>
            </w:r>
          </w:p>
        </w:tc>
        <w:tc>
          <w:tcPr>
            <w:tcW w:w="1029"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68,2</w:t>
            </w:r>
          </w:p>
        </w:tc>
        <w:tc>
          <w:tcPr>
            <w:tcW w:w="1040" w:type="dxa"/>
            <w:noWrap/>
          </w:tcPr>
          <w:p w:rsidR="00E42400" w:rsidRPr="006973B5" w:rsidRDefault="00E42400" w:rsidP="004620EF">
            <w:pPr>
              <w:jc w:val="right"/>
              <w:rPr>
                <w:rFonts w:ascii="Times New Roman" w:hAnsi="Times New Roman" w:cs="Times New Roman"/>
                <w:color w:val="000000"/>
                <w:sz w:val="20"/>
                <w:szCs w:val="20"/>
              </w:rPr>
            </w:pPr>
            <w:r w:rsidRPr="006973B5">
              <w:rPr>
                <w:rFonts w:ascii="Times New Roman" w:hAnsi="Times New Roman" w:cs="Times New Roman"/>
                <w:color w:val="000000"/>
                <w:sz w:val="20"/>
                <w:szCs w:val="20"/>
              </w:rPr>
              <w:t>68,2</w:t>
            </w:r>
          </w:p>
        </w:tc>
      </w:tr>
    </w:tbl>
    <w:p w:rsidR="00E42400" w:rsidRPr="006973B5" w:rsidRDefault="00E42400" w:rsidP="00E42400">
      <w:pPr>
        <w:spacing w:after="0"/>
        <w:rPr>
          <w:rFonts w:ascii="Times New Roman" w:hAnsi="Times New Roman" w:cs="Times New Roman"/>
          <w:i/>
          <w:sz w:val="20"/>
          <w:szCs w:val="20"/>
          <w:lang w:val="en-GB"/>
        </w:rPr>
      </w:pPr>
      <w:r w:rsidRPr="006973B5">
        <w:rPr>
          <w:rFonts w:ascii="Times New Roman" w:hAnsi="Times New Roman" w:cs="Times New Roman"/>
          <w:sz w:val="20"/>
          <w:szCs w:val="20"/>
          <w:u w:val="single"/>
        </w:rPr>
        <w:t>Source :</w:t>
      </w:r>
      <w:r w:rsidRPr="006973B5">
        <w:rPr>
          <w:rFonts w:ascii="Times New Roman" w:hAnsi="Times New Roman" w:cs="Times New Roman"/>
          <w:sz w:val="20"/>
          <w:szCs w:val="20"/>
        </w:rPr>
        <w:t xml:space="preserve"> ONEF, à partir des données</w:t>
      </w:r>
      <w:r w:rsidRPr="006973B5">
        <w:rPr>
          <w:rFonts w:ascii="Times New Roman" w:hAnsi="Times New Roman" w:cs="Times New Roman"/>
          <w:i/>
          <w:sz w:val="20"/>
          <w:szCs w:val="20"/>
          <w:lang w:val="en-GB"/>
        </w:rPr>
        <w:t xml:space="preserve"> EMOP-2017</w:t>
      </w:r>
    </w:p>
    <w:p w:rsidR="00E42400" w:rsidRPr="006973B5" w:rsidRDefault="00E42400" w:rsidP="00E42400">
      <w:pPr>
        <w:spacing w:after="0"/>
        <w:rPr>
          <w:rFonts w:ascii="Times New Roman" w:hAnsi="Times New Roman" w:cs="Times New Roman"/>
          <w:i/>
          <w:sz w:val="20"/>
          <w:szCs w:val="20"/>
          <w:lang w:val="en-GB"/>
        </w:rPr>
      </w:pPr>
    </w:p>
    <w:p w:rsidR="0072030E" w:rsidRPr="006973B5" w:rsidRDefault="0072030E" w:rsidP="0072030E">
      <w:pPr>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Dans la région de Gao, la proportion des adultes dans la population en âge de travailler n’atteint pas le double de celle des jeunes, mais par contre les jeunes sont plus de trois fois plus touchés par le chômage que les adultes de la région.  Le même constat se dégage pratiquement dans tous les régions.  </w:t>
      </w:r>
    </w:p>
    <w:p w:rsidR="0072030E" w:rsidRPr="006973B5" w:rsidRDefault="0072030E" w:rsidP="00E42400">
      <w:pPr>
        <w:spacing w:after="0"/>
        <w:rPr>
          <w:rFonts w:ascii="Times New Roman" w:hAnsi="Times New Roman" w:cs="Times New Roman"/>
          <w:i/>
          <w:sz w:val="20"/>
          <w:szCs w:val="20"/>
          <w:lang w:val="en-GB"/>
        </w:rPr>
      </w:pPr>
    </w:p>
    <w:p w:rsidR="00937EDF" w:rsidRPr="006973B5" w:rsidRDefault="00937EDF" w:rsidP="00E42400">
      <w:pPr>
        <w:spacing w:after="0"/>
        <w:rPr>
          <w:rFonts w:ascii="Times New Roman" w:hAnsi="Times New Roman" w:cs="Times New Roman"/>
          <w:i/>
          <w:sz w:val="20"/>
          <w:szCs w:val="20"/>
          <w:lang w:val="en-GB"/>
        </w:rPr>
      </w:pPr>
    </w:p>
    <w:p w:rsidR="00937EDF" w:rsidRPr="006973B5" w:rsidRDefault="00937EDF" w:rsidP="00E42400">
      <w:pPr>
        <w:spacing w:after="0"/>
        <w:rPr>
          <w:rFonts w:ascii="Times New Roman" w:hAnsi="Times New Roman" w:cs="Times New Roman"/>
          <w:i/>
          <w:sz w:val="20"/>
          <w:szCs w:val="20"/>
          <w:lang w:val="en-GB"/>
        </w:rPr>
      </w:pPr>
    </w:p>
    <w:p w:rsidR="00937EDF" w:rsidRPr="006973B5" w:rsidRDefault="00937EDF" w:rsidP="00E42400">
      <w:pPr>
        <w:spacing w:after="0"/>
        <w:rPr>
          <w:rFonts w:ascii="Times New Roman" w:hAnsi="Times New Roman" w:cs="Times New Roman"/>
          <w:i/>
          <w:sz w:val="20"/>
          <w:szCs w:val="20"/>
          <w:lang w:val="en-GB"/>
        </w:rPr>
      </w:pPr>
    </w:p>
    <w:p w:rsidR="00937EDF" w:rsidRPr="006973B5" w:rsidRDefault="00937EDF" w:rsidP="00E42400">
      <w:pPr>
        <w:spacing w:after="0"/>
        <w:rPr>
          <w:rFonts w:ascii="Times New Roman" w:hAnsi="Times New Roman" w:cs="Times New Roman"/>
          <w:i/>
          <w:sz w:val="20"/>
          <w:szCs w:val="20"/>
          <w:lang w:val="en-GB"/>
        </w:rPr>
      </w:pPr>
    </w:p>
    <w:p w:rsidR="00937EDF" w:rsidRPr="006973B5" w:rsidRDefault="00937EDF" w:rsidP="00E42400">
      <w:pPr>
        <w:spacing w:after="0"/>
        <w:rPr>
          <w:rFonts w:ascii="Times New Roman" w:hAnsi="Times New Roman" w:cs="Times New Roman"/>
          <w:i/>
          <w:sz w:val="20"/>
          <w:szCs w:val="20"/>
          <w:lang w:val="en-GB"/>
        </w:rPr>
      </w:pPr>
    </w:p>
    <w:p w:rsidR="00937EDF" w:rsidRPr="006973B5" w:rsidRDefault="00937EDF" w:rsidP="00E42400">
      <w:pPr>
        <w:spacing w:after="0"/>
        <w:rPr>
          <w:rFonts w:ascii="Times New Roman" w:hAnsi="Times New Roman" w:cs="Times New Roman"/>
          <w:i/>
          <w:sz w:val="20"/>
          <w:szCs w:val="20"/>
          <w:lang w:val="en-GB"/>
        </w:rPr>
      </w:pPr>
    </w:p>
    <w:p w:rsidR="00937EDF" w:rsidRPr="006973B5" w:rsidRDefault="00937EDF" w:rsidP="00E42400">
      <w:pPr>
        <w:spacing w:after="0"/>
        <w:rPr>
          <w:rFonts w:ascii="Times New Roman" w:hAnsi="Times New Roman" w:cs="Times New Roman"/>
          <w:i/>
          <w:sz w:val="20"/>
          <w:szCs w:val="20"/>
          <w:lang w:val="en-GB"/>
        </w:rPr>
      </w:pPr>
    </w:p>
    <w:p w:rsidR="00937EDF" w:rsidRPr="006973B5" w:rsidRDefault="00937EDF" w:rsidP="00E42400">
      <w:pPr>
        <w:spacing w:after="0"/>
        <w:rPr>
          <w:rFonts w:ascii="Times New Roman" w:hAnsi="Times New Roman" w:cs="Times New Roman"/>
          <w:i/>
          <w:sz w:val="20"/>
          <w:szCs w:val="20"/>
          <w:lang w:val="en-GB"/>
        </w:rPr>
      </w:pPr>
    </w:p>
    <w:p w:rsidR="00937EDF" w:rsidRPr="006973B5" w:rsidRDefault="00937EDF" w:rsidP="00E42400">
      <w:pPr>
        <w:spacing w:after="0"/>
        <w:rPr>
          <w:rFonts w:ascii="Times New Roman" w:hAnsi="Times New Roman" w:cs="Times New Roman"/>
          <w:i/>
          <w:sz w:val="20"/>
          <w:szCs w:val="20"/>
          <w:lang w:val="en-GB"/>
        </w:rPr>
      </w:pPr>
    </w:p>
    <w:p w:rsidR="00937EDF" w:rsidRPr="006973B5" w:rsidRDefault="00937EDF" w:rsidP="00E42400">
      <w:pPr>
        <w:spacing w:after="0"/>
        <w:rPr>
          <w:rFonts w:ascii="Times New Roman" w:hAnsi="Times New Roman" w:cs="Times New Roman"/>
          <w:i/>
          <w:sz w:val="20"/>
          <w:szCs w:val="20"/>
          <w:lang w:val="en-GB"/>
        </w:rPr>
      </w:pPr>
    </w:p>
    <w:p w:rsidR="00937EDF" w:rsidRPr="006973B5" w:rsidRDefault="00937EDF" w:rsidP="00E42400">
      <w:pPr>
        <w:spacing w:after="0"/>
        <w:rPr>
          <w:rFonts w:ascii="Times New Roman" w:hAnsi="Times New Roman" w:cs="Times New Roman"/>
          <w:i/>
          <w:sz w:val="20"/>
          <w:szCs w:val="20"/>
          <w:lang w:val="en-GB"/>
        </w:rPr>
      </w:pPr>
    </w:p>
    <w:p w:rsidR="00AD4D0A" w:rsidRDefault="00AD4D0A">
      <w:pPr>
        <w:rPr>
          <w:rFonts w:ascii="Times New Roman" w:eastAsia="Times New Roman" w:hAnsi="Times New Roman" w:cs="Times New Roman"/>
          <w:b/>
          <w:sz w:val="32"/>
          <w:szCs w:val="32"/>
          <w:lang w:eastAsia="fr-FR"/>
        </w:rPr>
      </w:pPr>
      <w:bookmarkStart w:id="60" w:name="_Toc511311789"/>
      <w:r>
        <w:rPr>
          <w:rFonts w:ascii="Times New Roman" w:eastAsia="Times New Roman" w:hAnsi="Times New Roman" w:cs="Times New Roman"/>
          <w:b/>
          <w:lang w:eastAsia="fr-FR"/>
        </w:rPr>
        <w:br w:type="page"/>
      </w:r>
    </w:p>
    <w:p w:rsidR="00E42400" w:rsidRPr="006973B5" w:rsidRDefault="00E42400" w:rsidP="00937EDF">
      <w:pPr>
        <w:pStyle w:val="Titre1"/>
        <w:numPr>
          <w:ilvl w:val="0"/>
          <w:numId w:val="14"/>
        </w:numPr>
        <w:rPr>
          <w:rFonts w:ascii="Times New Roman" w:eastAsia="Times New Roman" w:hAnsi="Times New Roman" w:cs="Times New Roman"/>
          <w:b/>
          <w:color w:val="auto"/>
          <w:lang w:eastAsia="fr-FR"/>
        </w:rPr>
      </w:pPr>
      <w:bookmarkStart w:id="61" w:name="_Toc516676425"/>
      <w:r w:rsidRPr="006973B5">
        <w:rPr>
          <w:rFonts w:ascii="Times New Roman" w:eastAsia="Times New Roman" w:hAnsi="Times New Roman" w:cs="Times New Roman"/>
          <w:b/>
          <w:color w:val="auto"/>
          <w:lang w:eastAsia="fr-FR"/>
        </w:rPr>
        <w:lastRenderedPageBreak/>
        <w:t>Analyse du marché local</w:t>
      </w:r>
      <w:bookmarkEnd w:id="60"/>
      <w:bookmarkEnd w:id="61"/>
    </w:p>
    <w:p w:rsidR="00E42400" w:rsidRPr="006973B5" w:rsidRDefault="00E42400">
      <w:pPr>
        <w:rPr>
          <w:rFonts w:ascii="Times New Roman" w:hAnsi="Times New Roman" w:cs="Times New Roman"/>
          <w:b/>
          <w:bCs/>
          <w:iCs/>
          <w:sz w:val="24"/>
          <w:szCs w:val="20"/>
        </w:rPr>
      </w:pPr>
    </w:p>
    <w:p w:rsidR="005566ED" w:rsidRPr="006973B5" w:rsidRDefault="003E68FE" w:rsidP="008D03F0">
      <w:pPr>
        <w:autoSpaceDE w:val="0"/>
        <w:autoSpaceDN w:val="0"/>
        <w:adjustRightInd w:val="0"/>
        <w:spacing w:after="0" w:line="276" w:lineRule="auto"/>
        <w:jc w:val="both"/>
        <w:rPr>
          <w:rFonts w:ascii="Times New Roman" w:hAnsi="Times New Roman" w:cs="Times New Roman"/>
          <w:bCs/>
          <w:iCs/>
          <w:sz w:val="24"/>
          <w:szCs w:val="20"/>
        </w:rPr>
      </w:pPr>
      <w:r w:rsidRPr="006973B5">
        <w:rPr>
          <w:rFonts w:ascii="Times New Roman" w:hAnsi="Times New Roman" w:cs="Times New Roman"/>
          <w:sz w:val="24"/>
          <w:szCs w:val="24"/>
        </w:rPr>
        <w:t xml:space="preserve">Dans les précédents points évoqués, nous avons fait une analyse descriptive de la participation des jeunes au marché du travail. Les éléments caractéristiques de l’emploi, du chômage, du sous-emploi et de l’inactivité des jeunes ont été présentés. </w:t>
      </w:r>
      <w:r w:rsidR="004C5045" w:rsidRPr="006973B5">
        <w:rPr>
          <w:rFonts w:ascii="Times New Roman" w:hAnsi="Times New Roman" w:cs="Times New Roman"/>
          <w:bCs/>
          <w:iCs/>
          <w:sz w:val="24"/>
          <w:szCs w:val="20"/>
        </w:rPr>
        <w:t xml:space="preserve">Dans cette partie, nous analysons </w:t>
      </w:r>
      <w:r w:rsidRPr="006973B5">
        <w:rPr>
          <w:rFonts w:ascii="Times New Roman" w:hAnsi="Times New Roman" w:cs="Times New Roman"/>
          <w:bCs/>
          <w:iCs/>
          <w:sz w:val="24"/>
          <w:szCs w:val="20"/>
        </w:rPr>
        <w:t>les potentialités économiques</w:t>
      </w:r>
      <w:r w:rsidR="004C5045" w:rsidRPr="006973B5">
        <w:rPr>
          <w:rFonts w:ascii="Times New Roman" w:hAnsi="Times New Roman" w:cs="Times New Roman"/>
          <w:bCs/>
          <w:iCs/>
          <w:sz w:val="24"/>
          <w:szCs w:val="20"/>
        </w:rPr>
        <w:t xml:space="preserve"> de certaines régions</w:t>
      </w:r>
      <w:r w:rsidRPr="006973B5">
        <w:rPr>
          <w:rFonts w:ascii="Times New Roman" w:hAnsi="Times New Roman" w:cs="Times New Roman"/>
          <w:bCs/>
          <w:iCs/>
          <w:sz w:val="24"/>
          <w:szCs w:val="20"/>
        </w:rPr>
        <w:t xml:space="preserve"> et les difficultés rencontrés par les jeunes de ces localités à trouver un emploi</w:t>
      </w:r>
      <w:r w:rsidR="004C5045" w:rsidRPr="006973B5">
        <w:rPr>
          <w:rFonts w:ascii="Times New Roman" w:hAnsi="Times New Roman" w:cs="Times New Roman"/>
          <w:bCs/>
          <w:iCs/>
          <w:sz w:val="24"/>
          <w:szCs w:val="20"/>
        </w:rPr>
        <w:t>.</w:t>
      </w:r>
      <w:r w:rsidR="000C3A15" w:rsidRPr="006973B5">
        <w:rPr>
          <w:rFonts w:ascii="Times New Roman" w:hAnsi="Times New Roman" w:cs="Times New Roman"/>
          <w:bCs/>
          <w:iCs/>
          <w:sz w:val="24"/>
          <w:szCs w:val="20"/>
        </w:rPr>
        <w:t xml:space="preserve"> Les localités retenues sont les suivant : Kayes, Sikasso, Ségou, Mopti et le District de B</w:t>
      </w:r>
      <w:r w:rsidR="005566ED" w:rsidRPr="006973B5">
        <w:rPr>
          <w:rFonts w:ascii="Times New Roman" w:hAnsi="Times New Roman" w:cs="Times New Roman"/>
          <w:bCs/>
          <w:iCs/>
          <w:sz w:val="24"/>
          <w:szCs w:val="20"/>
        </w:rPr>
        <w:t>a</w:t>
      </w:r>
      <w:r w:rsidR="000C3A15" w:rsidRPr="006973B5">
        <w:rPr>
          <w:rFonts w:ascii="Times New Roman" w:hAnsi="Times New Roman" w:cs="Times New Roman"/>
          <w:bCs/>
          <w:iCs/>
          <w:sz w:val="24"/>
          <w:szCs w:val="20"/>
        </w:rPr>
        <w:t>mako</w:t>
      </w:r>
      <w:r w:rsidR="005566ED" w:rsidRPr="006973B5">
        <w:rPr>
          <w:rFonts w:ascii="Times New Roman" w:hAnsi="Times New Roman" w:cs="Times New Roman"/>
          <w:bCs/>
          <w:iCs/>
          <w:sz w:val="24"/>
          <w:szCs w:val="20"/>
        </w:rPr>
        <w:t xml:space="preserve">.  </w:t>
      </w:r>
    </w:p>
    <w:p w:rsidR="003E68FE" w:rsidRPr="006973B5" w:rsidRDefault="003E68FE" w:rsidP="003E68FE">
      <w:pPr>
        <w:autoSpaceDE w:val="0"/>
        <w:autoSpaceDN w:val="0"/>
        <w:adjustRightInd w:val="0"/>
        <w:spacing w:after="0" w:line="240" w:lineRule="auto"/>
        <w:jc w:val="both"/>
        <w:rPr>
          <w:rFonts w:ascii="Times New Roman" w:hAnsi="Times New Roman" w:cs="Times New Roman"/>
          <w:bCs/>
          <w:iCs/>
          <w:sz w:val="24"/>
          <w:szCs w:val="20"/>
        </w:rPr>
      </w:pPr>
    </w:p>
    <w:p w:rsidR="0035084E" w:rsidRPr="006973B5" w:rsidRDefault="00A466BD" w:rsidP="007C1B99">
      <w:pPr>
        <w:autoSpaceDE w:val="0"/>
        <w:autoSpaceDN w:val="0"/>
        <w:adjustRightInd w:val="0"/>
        <w:spacing w:after="0" w:line="276" w:lineRule="auto"/>
        <w:jc w:val="both"/>
        <w:rPr>
          <w:rFonts w:ascii="Times New Roman" w:hAnsi="Times New Roman" w:cs="Times New Roman"/>
          <w:sz w:val="24"/>
          <w:szCs w:val="24"/>
        </w:rPr>
      </w:pPr>
      <w:r w:rsidRPr="006973B5">
        <w:rPr>
          <w:rFonts w:ascii="Times New Roman" w:hAnsi="Times New Roman" w:cs="Times New Roman"/>
          <w:sz w:val="24"/>
          <w:szCs w:val="24"/>
        </w:rPr>
        <w:t>Le processus de décentralis</w:t>
      </w:r>
      <w:r w:rsidR="000B4A1F" w:rsidRPr="006973B5">
        <w:rPr>
          <w:rFonts w:ascii="Times New Roman" w:hAnsi="Times New Roman" w:cs="Times New Roman"/>
          <w:sz w:val="24"/>
          <w:szCs w:val="24"/>
        </w:rPr>
        <w:t>ation du Mali a démarré en 1992, et malgré les avancées réalisées à ce jour, la pauvreté persist</w:t>
      </w:r>
      <w:r w:rsidR="007C1B99" w:rsidRPr="006973B5">
        <w:rPr>
          <w:rFonts w:ascii="Times New Roman" w:hAnsi="Times New Roman" w:cs="Times New Roman"/>
          <w:sz w:val="24"/>
          <w:szCs w:val="24"/>
        </w:rPr>
        <w:t>e</w:t>
      </w:r>
      <w:r w:rsidR="000B4A1F" w:rsidRPr="006973B5">
        <w:rPr>
          <w:rFonts w:ascii="Times New Roman" w:hAnsi="Times New Roman" w:cs="Times New Roman"/>
          <w:sz w:val="24"/>
          <w:szCs w:val="24"/>
        </w:rPr>
        <w:t xml:space="preserve"> dans la majorité des régions du Mali. </w:t>
      </w:r>
      <w:r w:rsidR="007C1B99" w:rsidRPr="006973B5">
        <w:rPr>
          <w:rFonts w:ascii="Times New Roman" w:hAnsi="Times New Roman" w:cs="Times New Roman"/>
          <w:sz w:val="24"/>
          <w:szCs w:val="24"/>
        </w:rPr>
        <w:t>Ainsi pour palier à ce problème, le Projet d’Appui à la Décentralisation et au Développement Economique Régional (PADDER) a commandité une série d’études sur les Espaces Economiques Partagés (EEP)</w:t>
      </w:r>
      <w:r w:rsidR="00706AA8" w:rsidRPr="006973B5">
        <w:rPr>
          <w:rFonts w:ascii="Times New Roman" w:hAnsi="Times New Roman" w:cs="Times New Roman"/>
          <w:sz w:val="24"/>
          <w:szCs w:val="24"/>
        </w:rPr>
        <w:t xml:space="preserve"> dans les régions de Kayes, Koulikoro, Sikasso, Ségou et Mopti. L</w:t>
      </w:r>
      <w:r w:rsidR="007C1B99" w:rsidRPr="006973B5">
        <w:rPr>
          <w:rFonts w:ascii="Times New Roman" w:hAnsi="Times New Roman" w:cs="Times New Roman"/>
          <w:sz w:val="24"/>
          <w:szCs w:val="24"/>
        </w:rPr>
        <w:t xml:space="preserve">’objectif global </w:t>
      </w:r>
      <w:r w:rsidR="00706AA8" w:rsidRPr="006973B5">
        <w:rPr>
          <w:rFonts w:ascii="Times New Roman" w:hAnsi="Times New Roman" w:cs="Times New Roman"/>
          <w:sz w:val="24"/>
          <w:szCs w:val="24"/>
        </w:rPr>
        <w:t xml:space="preserve">par ces études </w:t>
      </w:r>
      <w:r w:rsidR="007C1B99" w:rsidRPr="006973B5">
        <w:rPr>
          <w:rFonts w:ascii="Times New Roman" w:hAnsi="Times New Roman" w:cs="Times New Roman"/>
          <w:sz w:val="24"/>
          <w:szCs w:val="24"/>
        </w:rPr>
        <w:t xml:space="preserve">est de promouvoir le développement </w:t>
      </w:r>
      <w:r w:rsidR="00706AA8" w:rsidRPr="006973B5">
        <w:rPr>
          <w:rFonts w:ascii="Times New Roman" w:hAnsi="Times New Roman" w:cs="Times New Roman"/>
          <w:sz w:val="24"/>
          <w:szCs w:val="24"/>
        </w:rPr>
        <w:t>des régions concernées.</w:t>
      </w:r>
      <w:r w:rsidR="005A4CF4" w:rsidRPr="006973B5">
        <w:rPr>
          <w:rFonts w:ascii="Times New Roman" w:hAnsi="Times New Roman" w:cs="Times New Roman"/>
          <w:sz w:val="24"/>
          <w:szCs w:val="24"/>
        </w:rPr>
        <w:t xml:space="preserve"> </w:t>
      </w:r>
      <w:r w:rsidR="0035084E" w:rsidRPr="006973B5">
        <w:rPr>
          <w:rFonts w:ascii="Times New Roman" w:hAnsi="Times New Roman" w:cs="Times New Roman"/>
          <w:sz w:val="24"/>
          <w:szCs w:val="24"/>
        </w:rPr>
        <w:t xml:space="preserve">A part le District de Bamako, toutes régions qui </w:t>
      </w:r>
      <w:r w:rsidR="00B35E51" w:rsidRPr="006973B5">
        <w:rPr>
          <w:rFonts w:ascii="Times New Roman" w:hAnsi="Times New Roman" w:cs="Times New Roman"/>
          <w:sz w:val="24"/>
          <w:szCs w:val="24"/>
        </w:rPr>
        <w:t>sont retenues</w:t>
      </w:r>
      <w:r w:rsidR="0035084E" w:rsidRPr="006973B5">
        <w:rPr>
          <w:rFonts w:ascii="Times New Roman" w:hAnsi="Times New Roman" w:cs="Times New Roman"/>
          <w:sz w:val="24"/>
          <w:szCs w:val="24"/>
        </w:rPr>
        <w:t xml:space="preserve"> dans le cadre de notre étude étaient concernées par l’étude du Projet.</w:t>
      </w:r>
      <w:r w:rsidR="00097A74" w:rsidRPr="006973B5">
        <w:rPr>
          <w:rFonts w:ascii="Times New Roman" w:hAnsi="Times New Roman" w:cs="Times New Roman"/>
          <w:sz w:val="24"/>
          <w:szCs w:val="24"/>
        </w:rPr>
        <w:t xml:space="preserve"> En plus cette étude, chacune région dispose son Plan stratégique de développement régional. </w:t>
      </w:r>
      <w:r w:rsidR="00310581" w:rsidRPr="006973B5">
        <w:rPr>
          <w:rFonts w:ascii="Times New Roman" w:hAnsi="Times New Roman" w:cs="Times New Roman"/>
          <w:sz w:val="24"/>
          <w:szCs w:val="24"/>
        </w:rPr>
        <w:t xml:space="preserve">L’exploitation de ces documents sera complétée par celle du rapport de l’étude, </w:t>
      </w:r>
      <w:r w:rsidR="00ED5C3D" w:rsidRPr="006973B5">
        <w:rPr>
          <w:rFonts w:ascii="Times New Roman" w:hAnsi="Times New Roman" w:cs="Times New Roman"/>
          <w:sz w:val="24"/>
          <w:szCs w:val="24"/>
        </w:rPr>
        <w:t>réalisée par l’Observatoire National de l’Emploi et de Formation (ONEF) sur financement de la Banque Mondiale à travers le Projet de Développement des Compétences et Emploi des Jeunes (PROCEJ)</w:t>
      </w:r>
      <w:r w:rsidR="00310581" w:rsidRPr="006973B5">
        <w:rPr>
          <w:rFonts w:ascii="Times New Roman" w:hAnsi="Times New Roman" w:cs="Times New Roman"/>
          <w:sz w:val="24"/>
          <w:szCs w:val="24"/>
        </w:rPr>
        <w:t xml:space="preserve">, sur </w:t>
      </w:r>
      <w:r w:rsidR="00EA4FF7" w:rsidRPr="006973B5">
        <w:rPr>
          <w:rFonts w:ascii="Times New Roman" w:hAnsi="Times New Roman" w:cs="Times New Roman"/>
          <w:sz w:val="24"/>
          <w:szCs w:val="24"/>
        </w:rPr>
        <w:t>« l’identification des filières Agro-Sylvo-Pastorales porteuses d’emplois et leurs chaînes de valeurs »</w:t>
      </w:r>
      <w:r w:rsidR="00C96A54" w:rsidRPr="006973B5">
        <w:rPr>
          <w:rFonts w:ascii="Times New Roman" w:hAnsi="Times New Roman" w:cs="Times New Roman"/>
          <w:sz w:val="24"/>
          <w:szCs w:val="24"/>
        </w:rPr>
        <w:t xml:space="preserve">. Cette </w:t>
      </w:r>
      <w:r w:rsidR="00310581" w:rsidRPr="006973B5">
        <w:rPr>
          <w:rFonts w:ascii="Times New Roman" w:hAnsi="Times New Roman" w:cs="Times New Roman"/>
          <w:sz w:val="24"/>
          <w:szCs w:val="24"/>
        </w:rPr>
        <w:t xml:space="preserve">étude </w:t>
      </w:r>
      <w:r w:rsidR="00C96A54" w:rsidRPr="006973B5">
        <w:rPr>
          <w:rFonts w:ascii="Times New Roman" w:hAnsi="Times New Roman" w:cs="Times New Roman"/>
          <w:sz w:val="24"/>
          <w:szCs w:val="24"/>
        </w:rPr>
        <w:t xml:space="preserve">a concerné </w:t>
      </w:r>
      <w:r w:rsidR="00310581" w:rsidRPr="006973B5">
        <w:rPr>
          <w:rFonts w:ascii="Times New Roman" w:hAnsi="Times New Roman" w:cs="Times New Roman"/>
          <w:sz w:val="24"/>
          <w:szCs w:val="24"/>
        </w:rPr>
        <w:t>les huit</w:t>
      </w:r>
      <w:r w:rsidR="00C96A54" w:rsidRPr="006973B5">
        <w:rPr>
          <w:rFonts w:ascii="Times New Roman" w:hAnsi="Times New Roman" w:cs="Times New Roman"/>
          <w:sz w:val="24"/>
          <w:szCs w:val="24"/>
        </w:rPr>
        <w:t xml:space="preserve"> premières régions du Mali.</w:t>
      </w:r>
      <w:r w:rsidR="00EA4FF7" w:rsidRPr="006973B5">
        <w:rPr>
          <w:rFonts w:ascii="Times New Roman" w:hAnsi="Times New Roman" w:cs="Times New Roman"/>
          <w:sz w:val="24"/>
          <w:szCs w:val="24"/>
        </w:rPr>
        <w:t xml:space="preserve"> </w:t>
      </w:r>
    </w:p>
    <w:p w:rsidR="0035084E" w:rsidRPr="006973B5" w:rsidRDefault="0035084E" w:rsidP="007C1B99">
      <w:pPr>
        <w:autoSpaceDE w:val="0"/>
        <w:autoSpaceDN w:val="0"/>
        <w:adjustRightInd w:val="0"/>
        <w:spacing w:after="0" w:line="276" w:lineRule="auto"/>
        <w:jc w:val="both"/>
        <w:rPr>
          <w:rFonts w:ascii="Times New Roman" w:hAnsi="Times New Roman" w:cs="Times New Roman"/>
          <w:sz w:val="24"/>
          <w:szCs w:val="24"/>
        </w:rPr>
      </w:pPr>
    </w:p>
    <w:p w:rsidR="008D03F0" w:rsidRPr="006973B5" w:rsidRDefault="0035084E" w:rsidP="008D03F0">
      <w:pPr>
        <w:autoSpaceDE w:val="0"/>
        <w:autoSpaceDN w:val="0"/>
        <w:adjustRightInd w:val="0"/>
        <w:spacing w:after="0" w:line="276" w:lineRule="auto"/>
        <w:jc w:val="both"/>
        <w:rPr>
          <w:rFonts w:ascii="Times New Roman" w:hAnsi="Times New Roman" w:cs="Times New Roman"/>
          <w:bCs/>
          <w:iCs/>
          <w:sz w:val="24"/>
          <w:szCs w:val="20"/>
        </w:rPr>
      </w:pPr>
      <w:r w:rsidRPr="006973B5">
        <w:rPr>
          <w:rFonts w:ascii="Times New Roman" w:hAnsi="Times New Roman" w:cs="Times New Roman"/>
          <w:sz w:val="24"/>
          <w:szCs w:val="24"/>
        </w:rPr>
        <w:t xml:space="preserve">Ces études ont permis de faire le diagnostic des secteurs économiques porteurs des régions concernées à travers un diagnostic secteur économique porteur et l’analyse des filières </w:t>
      </w:r>
      <w:r w:rsidR="00310581" w:rsidRPr="006973B5">
        <w:rPr>
          <w:rFonts w:ascii="Times New Roman" w:hAnsi="Times New Roman" w:cs="Times New Roman"/>
          <w:sz w:val="24"/>
          <w:szCs w:val="24"/>
        </w:rPr>
        <w:t xml:space="preserve">porteuses </w:t>
      </w:r>
      <w:r w:rsidR="00295899" w:rsidRPr="006973B5">
        <w:rPr>
          <w:rFonts w:ascii="Times New Roman" w:hAnsi="Times New Roman" w:cs="Times New Roman"/>
          <w:sz w:val="24"/>
          <w:szCs w:val="24"/>
        </w:rPr>
        <w:t xml:space="preserve">qui peuvent </w:t>
      </w:r>
      <w:r w:rsidR="005661E0" w:rsidRPr="006973B5">
        <w:rPr>
          <w:rFonts w:ascii="Times New Roman" w:hAnsi="Times New Roman" w:cs="Times New Roman"/>
          <w:sz w:val="24"/>
          <w:szCs w:val="24"/>
        </w:rPr>
        <w:t>orienter les décideurs dans l’identification des opportunités d’emplois pour les jeunes.</w:t>
      </w:r>
      <w:r w:rsidR="008D03F0" w:rsidRPr="006973B5">
        <w:rPr>
          <w:rFonts w:ascii="Times New Roman" w:hAnsi="Times New Roman" w:cs="Times New Roman"/>
          <w:sz w:val="24"/>
          <w:szCs w:val="24"/>
        </w:rPr>
        <w:t xml:space="preserve"> La revue documentaire, consacrée à ces études sera complétée par une analyse des </w:t>
      </w:r>
      <w:r w:rsidR="008D03F0" w:rsidRPr="006973B5">
        <w:rPr>
          <w:rFonts w:ascii="Times New Roman" w:hAnsi="Times New Roman" w:cs="Times New Roman"/>
          <w:bCs/>
          <w:iCs/>
          <w:sz w:val="24"/>
          <w:szCs w:val="20"/>
        </w:rPr>
        <w:t xml:space="preserve">données qualitatives collectées auprès de certaines entreprises basées dans ces régions, des structures étatiques et les organisations professionnelles. </w:t>
      </w:r>
    </w:p>
    <w:p w:rsidR="008D03F0" w:rsidRPr="006973B5" w:rsidRDefault="008D03F0" w:rsidP="007C1B99">
      <w:pPr>
        <w:autoSpaceDE w:val="0"/>
        <w:autoSpaceDN w:val="0"/>
        <w:adjustRightInd w:val="0"/>
        <w:spacing w:after="0" w:line="276" w:lineRule="auto"/>
        <w:jc w:val="both"/>
        <w:rPr>
          <w:rFonts w:ascii="Times New Roman" w:hAnsi="Times New Roman" w:cs="Times New Roman"/>
          <w:sz w:val="24"/>
          <w:szCs w:val="24"/>
        </w:rPr>
      </w:pPr>
    </w:p>
    <w:p w:rsidR="005668EF" w:rsidRPr="006973B5" w:rsidRDefault="005668EF" w:rsidP="007C1B99">
      <w:pPr>
        <w:autoSpaceDE w:val="0"/>
        <w:autoSpaceDN w:val="0"/>
        <w:adjustRightInd w:val="0"/>
        <w:spacing w:after="0" w:line="276" w:lineRule="auto"/>
        <w:jc w:val="both"/>
        <w:rPr>
          <w:rFonts w:ascii="Times New Roman" w:hAnsi="Times New Roman" w:cs="Times New Roman"/>
          <w:sz w:val="24"/>
          <w:szCs w:val="24"/>
        </w:rPr>
      </w:pPr>
    </w:p>
    <w:p w:rsidR="005668EF" w:rsidRPr="006973B5" w:rsidRDefault="005668EF" w:rsidP="00937EDF">
      <w:pPr>
        <w:pStyle w:val="Titre2"/>
        <w:numPr>
          <w:ilvl w:val="1"/>
          <w:numId w:val="14"/>
        </w:numPr>
        <w:rPr>
          <w:rFonts w:ascii="Times New Roman" w:hAnsi="Times New Roman" w:cs="Times New Roman"/>
          <w:b/>
          <w:color w:val="auto"/>
        </w:rPr>
      </w:pPr>
      <w:bookmarkStart w:id="62" w:name="_Toc516676426"/>
      <w:r w:rsidRPr="006973B5">
        <w:rPr>
          <w:rFonts w:ascii="Times New Roman" w:hAnsi="Times New Roman" w:cs="Times New Roman"/>
          <w:b/>
          <w:color w:val="auto"/>
        </w:rPr>
        <w:t xml:space="preserve">Analyse </w:t>
      </w:r>
      <w:r w:rsidR="00FC502C" w:rsidRPr="006973B5">
        <w:rPr>
          <w:rFonts w:ascii="Times New Roman" w:hAnsi="Times New Roman" w:cs="Times New Roman"/>
          <w:b/>
          <w:color w:val="auto"/>
        </w:rPr>
        <w:t xml:space="preserve">du </w:t>
      </w:r>
      <w:r w:rsidRPr="006973B5">
        <w:rPr>
          <w:rFonts w:ascii="Times New Roman" w:hAnsi="Times New Roman" w:cs="Times New Roman"/>
          <w:b/>
          <w:color w:val="auto"/>
        </w:rPr>
        <w:t>marché local de la région de Kayes</w:t>
      </w:r>
      <w:bookmarkEnd w:id="62"/>
      <w:r w:rsidRPr="006973B5">
        <w:rPr>
          <w:rFonts w:ascii="Times New Roman" w:hAnsi="Times New Roman" w:cs="Times New Roman"/>
          <w:b/>
          <w:color w:val="auto"/>
        </w:rPr>
        <w:t xml:space="preserve"> </w:t>
      </w:r>
    </w:p>
    <w:p w:rsidR="00AD4D0A" w:rsidRDefault="00AD4D0A" w:rsidP="007C1B99">
      <w:pPr>
        <w:autoSpaceDE w:val="0"/>
        <w:autoSpaceDN w:val="0"/>
        <w:adjustRightInd w:val="0"/>
        <w:spacing w:after="0" w:line="276" w:lineRule="auto"/>
        <w:jc w:val="both"/>
        <w:rPr>
          <w:rFonts w:ascii="Times New Roman" w:hAnsi="Times New Roman" w:cs="Times New Roman"/>
          <w:sz w:val="24"/>
          <w:szCs w:val="24"/>
        </w:rPr>
      </w:pPr>
    </w:p>
    <w:p w:rsidR="005668EF" w:rsidRPr="006973B5" w:rsidRDefault="00FC502C" w:rsidP="007C1B99">
      <w:pPr>
        <w:autoSpaceDE w:val="0"/>
        <w:autoSpaceDN w:val="0"/>
        <w:adjustRightInd w:val="0"/>
        <w:spacing w:after="0" w:line="276" w:lineRule="auto"/>
        <w:jc w:val="both"/>
        <w:rPr>
          <w:rFonts w:ascii="Times New Roman" w:hAnsi="Times New Roman" w:cs="Times New Roman"/>
          <w:sz w:val="24"/>
          <w:szCs w:val="24"/>
        </w:rPr>
      </w:pPr>
      <w:r w:rsidRPr="006973B5">
        <w:rPr>
          <w:rFonts w:ascii="Times New Roman" w:hAnsi="Times New Roman" w:cs="Times New Roman"/>
          <w:sz w:val="24"/>
          <w:szCs w:val="24"/>
        </w:rPr>
        <w:t>Nous analysons dans cette section les potentialités économiques de la région de Kayes et ses filières porteuses.</w:t>
      </w:r>
    </w:p>
    <w:p w:rsidR="00FC502C" w:rsidRPr="006973B5" w:rsidRDefault="00FC502C" w:rsidP="007C1B99">
      <w:pPr>
        <w:autoSpaceDE w:val="0"/>
        <w:autoSpaceDN w:val="0"/>
        <w:adjustRightInd w:val="0"/>
        <w:spacing w:after="0" w:line="276" w:lineRule="auto"/>
        <w:jc w:val="both"/>
        <w:rPr>
          <w:rFonts w:ascii="Times New Roman" w:hAnsi="Times New Roman" w:cs="Times New Roman"/>
          <w:sz w:val="24"/>
          <w:szCs w:val="24"/>
        </w:rPr>
      </w:pPr>
    </w:p>
    <w:p w:rsidR="00A466BD" w:rsidRPr="006973B5" w:rsidRDefault="00391196" w:rsidP="00937EDF">
      <w:pPr>
        <w:pStyle w:val="Paragraphedeliste"/>
        <w:numPr>
          <w:ilvl w:val="2"/>
          <w:numId w:val="14"/>
        </w:numPr>
        <w:autoSpaceDE w:val="0"/>
        <w:autoSpaceDN w:val="0"/>
        <w:adjustRightInd w:val="0"/>
        <w:spacing w:after="0" w:line="276" w:lineRule="auto"/>
        <w:jc w:val="both"/>
        <w:rPr>
          <w:rFonts w:ascii="Times New Roman" w:hAnsi="Times New Roman" w:cs="Times New Roman"/>
          <w:b/>
          <w:bCs/>
          <w:i/>
          <w:iCs/>
          <w:sz w:val="24"/>
          <w:szCs w:val="20"/>
        </w:rPr>
      </w:pPr>
      <w:r w:rsidRPr="006973B5">
        <w:rPr>
          <w:rFonts w:ascii="Times New Roman" w:hAnsi="Times New Roman" w:cs="Times New Roman"/>
          <w:b/>
          <w:bCs/>
          <w:i/>
          <w:iCs/>
          <w:sz w:val="24"/>
          <w:szCs w:val="20"/>
        </w:rPr>
        <w:t>Les potentialités économiques de la région de Kayes</w:t>
      </w:r>
    </w:p>
    <w:p w:rsidR="00AD4D0A" w:rsidRDefault="00AD4D0A" w:rsidP="00AD4D0A">
      <w:pPr>
        <w:spacing w:after="0" w:line="276" w:lineRule="auto"/>
        <w:jc w:val="both"/>
        <w:rPr>
          <w:rFonts w:ascii="Times New Roman" w:hAnsi="Times New Roman" w:cs="Times New Roman"/>
          <w:bCs/>
          <w:iCs/>
          <w:sz w:val="24"/>
          <w:szCs w:val="20"/>
        </w:rPr>
      </w:pPr>
    </w:p>
    <w:p w:rsidR="00E60F1A" w:rsidRPr="006973B5" w:rsidRDefault="002C1E76" w:rsidP="00ED2CF2">
      <w:pPr>
        <w:spacing w:line="276" w:lineRule="auto"/>
        <w:jc w:val="both"/>
        <w:rPr>
          <w:rFonts w:ascii="Times New Roman" w:hAnsi="Times New Roman" w:cs="Times New Roman"/>
          <w:sz w:val="24"/>
          <w:szCs w:val="24"/>
        </w:rPr>
      </w:pPr>
      <w:r w:rsidRPr="006973B5">
        <w:rPr>
          <w:rFonts w:ascii="Times New Roman" w:hAnsi="Times New Roman" w:cs="Times New Roman"/>
          <w:bCs/>
          <w:iCs/>
          <w:sz w:val="24"/>
          <w:szCs w:val="20"/>
        </w:rPr>
        <w:t>La région de Kayes est s</w:t>
      </w:r>
      <w:r w:rsidRPr="006973B5">
        <w:rPr>
          <w:rFonts w:ascii="Times New Roman" w:hAnsi="Times New Roman" w:cs="Times New Roman"/>
          <w:sz w:val="24"/>
          <w:szCs w:val="24"/>
        </w:rPr>
        <w:t>ituée dans la partie Ouest du Mali</w:t>
      </w:r>
      <w:r w:rsidR="00ED2CF2" w:rsidRPr="006973B5">
        <w:rPr>
          <w:rFonts w:ascii="Times New Roman" w:hAnsi="Times New Roman" w:cs="Times New Roman"/>
          <w:sz w:val="24"/>
          <w:szCs w:val="24"/>
        </w:rPr>
        <w:t>. Elle</w:t>
      </w:r>
      <w:r w:rsidRPr="006973B5">
        <w:rPr>
          <w:rFonts w:ascii="Times New Roman" w:hAnsi="Times New Roman" w:cs="Times New Roman"/>
          <w:sz w:val="24"/>
          <w:szCs w:val="24"/>
        </w:rPr>
        <w:t xml:space="preserve"> couvre une superficie d’environ 120.760 km², soit 9,7% du territoire national. </w:t>
      </w:r>
      <w:r w:rsidR="00ED2CF2" w:rsidRPr="006973B5">
        <w:rPr>
          <w:rFonts w:ascii="Times New Roman" w:hAnsi="Times New Roman" w:cs="Times New Roman"/>
          <w:sz w:val="24"/>
          <w:szCs w:val="24"/>
        </w:rPr>
        <w:t>Sa population est estimée en 2017 à 2 590 017 habitants, dont 379</w:t>
      </w:r>
      <w:r w:rsidR="00E60F1A" w:rsidRPr="006973B5">
        <w:rPr>
          <w:rFonts w:ascii="Times New Roman" w:hAnsi="Times New Roman" w:cs="Times New Roman"/>
          <w:sz w:val="24"/>
          <w:szCs w:val="24"/>
        </w:rPr>
        <w:t> 414 jeunes âgés de</w:t>
      </w:r>
      <w:r w:rsidR="00ED2CF2" w:rsidRPr="006973B5">
        <w:rPr>
          <w:rFonts w:ascii="Times New Roman" w:hAnsi="Times New Roman" w:cs="Times New Roman"/>
          <w:sz w:val="24"/>
          <w:szCs w:val="24"/>
        </w:rPr>
        <w:t xml:space="preserve"> 15 à 24 ans, soit 14,65% de la population totale.</w:t>
      </w:r>
      <w:r w:rsidR="00E60F1A" w:rsidRPr="006973B5">
        <w:rPr>
          <w:rFonts w:ascii="Times New Roman" w:hAnsi="Times New Roman" w:cs="Times New Roman"/>
          <w:sz w:val="24"/>
          <w:szCs w:val="24"/>
        </w:rPr>
        <w:t xml:space="preserve"> Les potentialités de la région qui peuvent servir de base de développement économique sont entre autres :</w:t>
      </w:r>
    </w:p>
    <w:p w:rsidR="00E60F1A" w:rsidRPr="006973B5" w:rsidRDefault="00E60F1A" w:rsidP="0042039A">
      <w:pPr>
        <w:pStyle w:val="Paragraphedeliste"/>
        <w:numPr>
          <w:ilvl w:val="0"/>
          <w:numId w:val="10"/>
        </w:numPr>
        <w:autoSpaceDE w:val="0"/>
        <w:autoSpaceDN w:val="0"/>
        <w:adjustRightInd w:val="0"/>
        <w:spacing w:after="0" w:line="276" w:lineRule="auto"/>
        <w:jc w:val="both"/>
        <w:rPr>
          <w:rFonts w:ascii="Times New Roman" w:hAnsi="Times New Roman" w:cs="Times New Roman"/>
          <w:sz w:val="24"/>
          <w:szCs w:val="24"/>
        </w:rPr>
      </w:pPr>
      <w:r w:rsidRPr="006973B5">
        <w:rPr>
          <w:rFonts w:ascii="Times New Roman" w:hAnsi="Times New Roman" w:cs="Times New Roman"/>
          <w:sz w:val="24"/>
          <w:szCs w:val="24"/>
          <w:u w:val="single"/>
        </w:rPr>
        <w:lastRenderedPageBreak/>
        <w:t>Les ressources en eaux de surface</w:t>
      </w:r>
      <w:r w:rsidRPr="006973B5">
        <w:rPr>
          <w:rFonts w:ascii="Times New Roman" w:hAnsi="Times New Roman" w:cs="Times New Roman"/>
          <w:sz w:val="24"/>
          <w:szCs w:val="24"/>
        </w:rPr>
        <w:t xml:space="preserve"> </w:t>
      </w:r>
      <w:r w:rsidR="00D44E31" w:rsidRPr="006973B5">
        <w:rPr>
          <w:rFonts w:ascii="Times New Roman" w:hAnsi="Times New Roman" w:cs="Times New Roman"/>
          <w:sz w:val="24"/>
          <w:szCs w:val="24"/>
        </w:rPr>
        <w:t xml:space="preserve">sont constituées principalement du </w:t>
      </w:r>
      <w:r w:rsidRPr="006973B5">
        <w:rPr>
          <w:rFonts w:ascii="Times New Roman" w:hAnsi="Times New Roman" w:cs="Times New Roman"/>
          <w:sz w:val="24"/>
          <w:szCs w:val="24"/>
        </w:rPr>
        <w:t>Bafing, du Bakoye et du Baoulé qui se rejoignent à</w:t>
      </w:r>
      <w:r w:rsidR="00D44E31" w:rsidRPr="006973B5">
        <w:rPr>
          <w:rFonts w:ascii="Times New Roman" w:hAnsi="Times New Roman" w:cs="Times New Roman"/>
          <w:sz w:val="24"/>
          <w:szCs w:val="24"/>
        </w:rPr>
        <w:t xml:space="preserve"> </w:t>
      </w:r>
      <w:r w:rsidRPr="006973B5">
        <w:rPr>
          <w:rFonts w:ascii="Times New Roman" w:hAnsi="Times New Roman" w:cs="Times New Roman"/>
          <w:sz w:val="24"/>
          <w:szCs w:val="24"/>
        </w:rPr>
        <w:t>Bafoulabé pour former le Sénégal qui est renforcé par les eaux du Kolimbiné et du</w:t>
      </w:r>
      <w:r w:rsidR="00D44E31" w:rsidRPr="006973B5">
        <w:rPr>
          <w:rFonts w:ascii="Times New Roman" w:hAnsi="Times New Roman" w:cs="Times New Roman"/>
          <w:sz w:val="24"/>
          <w:szCs w:val="24"/>
        </w:rPr>
        <w:t xml:space="preserve"> </w:t>
      </w:r>
      <w:r w:rsidRPr="006973B5">
        <w:rPr>
          <w:rFonts w:ascii="Times New Roman" w:hAnsi="Times New Roman" w:cs="Times New Roman"/>
          <w:sz w:val="24"/>
          <w:szCs w:val="24"/>
        </w:rPr>
        <w:t>Karakoro, mais aussi du Falémé</w:t>
      </w:r>
      <w:r w:rsidR="00D44E31" w:rsidRPr="006973B5">
        <w:rPr>
          <w:rFonts w:ascii="Times New Roman" w:hAnsi="Times New Roman" w:cs="Times New Roman"/>
          <w:sz w:val="24"/>
          <w:szCs w:val="24"/>
        </w:rPr>
        <w:t>.</w:t>
      </w:r>
    </w:p>
    <w:p w:rsidR="00273A5D" w:rsidRPr="006973B5" w:rsidRDefault="00273A5D" w:rsidP="00273A5D">
      <w:pPr>
        <w:pStyle w:val="Paragraphedeliste"/>
        <w:autoSpaceDE w:val="0"/>
        <w:autoSpaceDN w:val="0"/>
        <w:adjustRightInd w:val="0"/>
        <w:spacing w:after="0" w:line="276" w:lineRule="auto"/>
        <w:jc w:val="both"/>
        <w:rPr>
          <w:rFonts w:ascii="Times New Roman" w:hAnsi="Times New Roman" w:cs="Times New Roman"/>
          <w:sz w:val="24"/>
          <w:szCs w:val="24"/>
        </w:rPr>
      </w:pPr>
    </w:p>
    <w:p w:rsidR="002C1E76" w:rsidRPr="006973B5" w:rsidRDefault="00273A5D" w:rsidP="0042039A">
      <w:pPr>
        <w:pStyle w:val="Paragraphedeliste"/>
        <w:numPr>
          <w:ilvl w:val="0"/>
          <w:numId w:val="10"/>
        </w:numPr>
        <w:autoSpaceDE w:val="0"/>
        <w:autoSpaceDN w:val="0"/>
        <w:adjustRightInd w:val="0"/>
        <w:spacing w:after="0" w:line="276" w:lineRule="auto"/>
        <w:jc w:val="both"/>
        <w:rPr>
          <w:rFonts w:ascii="Times New Roman" w:hAnsi="Times New Roman" w:cs="Times New Roman"/>
          <w:sz w:val="24"/>
          <w:szCs w:val="24"/>
        </w:rPr>
      </w:pPr>
      <w:r w:rsidRPr="006973B5">
        <w:rPr>
          <w:rFonts w:ascii="Times New Roman" w:hAnsi="Times New Roman" w:cs="Times New Roman"/>
          <w:sz w:val="24"/>
          <w:szCs w:val="24"/>
          <w:u w:val="single"/>
        </w:rPr>
        <w:t>Les ressources minières</w:t>
      </w:r>
      <w:r w:rsidRPr="006973B5">
        <w:rPr>
          <w:rFonts w:ascii="Times New Roman" w:hAnsi="Times New Roman" w:cs="Times New Roman"/>
          <w:sz w:val="24"/>
          <w:szCs w:val="24"/>
        </w:rPr>
        <w:t xml:space="preserve"> sont constituées de gisement de fer, de calcaire, de marbre et de l’or, entre autres. </w:t>
      </w:r>
      <w:r w:rsidR="00C761D1" w:rsidRPr="006973B5">
        <w:rPr>
          <w:rFonts w:ascii="Times New Roman" w:hAnsi="Times New Roman" w:cs="Times New Roman"/>
          <w:sz w:val="24"/>
          <w:szCs w:val="24"/>
        </w:rPr>
        <w:t xml:space="preserve">Ces ressources présentent </w:t>
      </w:r>
      <w:r w:rsidRPr="006973B5">
        <w:rPr>
          <w:rFonts w:ascii="Times New Roman" w:hAnsi="Times New Roman" w:cs="Times New Roman"/>
          <w:sz w:val="24"/>
          <w:szCs w:val="24"/>
        </w:rPr>
        <w:t xml:space="preserve">de réelles opportunités de création d’emploi pour la population </w:t>
      </w:r>
      <w:r w:rsidR="00C761D1" w:rsidRPr="006973B5">
        <w:rPr>
          <w:rFonts w:ascii="Times New Roman" w:hAnsi="Times New Roman" w:cs="Times New Roman"/>
          <w:sz w:val="24"/>
          <w:szCs w:val="24"/>
        </w:rPr>
        <w:t>de la région</w:t>
      </w:r>
      <w:r w:rsidRPr="006973B5">
        <w:rPr>
          <w:rFonts w:ascii="Times New Roman" w:hAnsi="Times New Roman" w:cs="Times New Roman"/>
          <w:sz w:val="24"/>
          <w:szCs w:val="24"/>
        </w:rPr>
        <w:t xml:space="preserve">. </w:t>
      </w:r>
    </w:p>
    <w:p w:rsidR="00E84200" w:rsidRPr="006973B5" w:rsidRDefault="00E84200" w:rsidP="00E84200">
      <w:pPr>
        <w:pStyle w:val="Paragraphedeliste"/>
        <w:rPr>
          <w:rFonts w:ascii="Times New Roman" w:hAnsi="Times New Roman" w:cs="Times New Roman"/>
          <w:sz w:val="24"/>
          <w:szCs w:val="24"/>
        </w:rPr>
      </w:pPr>
    </w:p>
    <w:p w:rsidR="004D68E9" w:rsidRPr="006973B5" w:rsidRDefault="00E84200" w:rsidP="00E84200">
      <w:pPr>
        <w:pStyle w:val="Paragraphedeliste"/>
        <w:numPr>
          <w:ilvl w:val="0"/>
          <w:numId w:val="10"/>
        </w:numPr>
        <w:autoSpaceDE w:val="0"/>
        <w:autoSpaceDN w:val="0"/>
        <w:adjustRightInd w:val="0"/>
        <w:spacing w:after="0" w:line="276" w:lineRule="auto"/>
        <w:jc w:val="both"/>
        <w:rPr>
          <w:rFonts w:ascii="Times New Roman" w:hAnsi="Times New Roman" w:cs="Times New Roman"/>
          <w:sz w:val="24"/>
          <w:szCs w:val="24"/>
        </w:rPr>
      </w:pPr>
      <w:r w:rsidRPr="006973B5">
        <w:rPr>
          <w:rFonts w:ascii="Times New Roman" w:hAnsi="Times New Roman" w:cs="Times New Roman"/>
          <w:sz w:val="24"/>
          <w:szCs w:val="24"/>
          <w:u w:val="single"/>
        </w:rPr>
        <w:t>Les plaines inondables</w:t>
      </w:r>
      <w:r w:rsidR="001A7176" w:rsidRPr="006973B5">
        <w:rPr>
          <w:rFonts w:ascii="Times New Roman" w:hAnsi="Times New Roman" w:cs="Times New Roman"/>
          <w:sz w:val="24"/>
          <w:szCs w:val="24"/>
        </w:rPr>
        <w:t xml:space="preserve"> : la région dispose de </w:t>
      </w:r>
      <w:r w:rsidR="00AD4D0A" w:rsidRPr="006973B5">
        <w:rPr>
          <w:rFonts w:ascii="Times New Roman" w:hAnsi="Times New Roman" w:cs="Times New Roman"/>
          <w:sz w:val="24"/>
          <w:szCs w:val="24"/>
        </w:rPr>
        <w:t>vastes plaines inondables</w:t>
      </w:r>
      <w:r w:rsidR="001A7176" w:rsidRPr="006973B5">
        <w:rPr>
          <w:rFonts w:ascii="Times New Roman" w:hAnsi="Times New Roman" w:cs="Times New Roman"/>
          <w:sz w:val="24"/>
          <w:szCs w:val="24"/>
        </w:rPr>
        <w:t xml:space="preserve"> qui peuvent être utilisé pour </w:t>
      </w:r>
      <w:r w:rsidR="004D68E9" w:rsidRPr="006973B5">
        <w:rPr>
          <w:rFonts w:ascii="Times New Roman" w:hAnsi="Times New Roman" w:cs="Times New Roman"/>
          <w:sz w:val="24"/>
          <w:szCs w:val="24"/>
        </w:rPr>
        <w:t xml:space="preserve">développer certaines cultures pendant la </w:t>
      </w:r>
      <w:r w:rsidRPr="006973B5">
        <w:rPr>
          <w:rFonts w:ascii="Times New Roman" w:hAnsi="Times New Roman" w:cs="Times New Roman"/>
          <w:sz w:val="24"/>
          <w:szCs w:val="24"/>
        </w:rPr>
        <w:t>décrue</w:t>
      </w:r>
      <w:r w:rsidR="004D68E9" w:rsidRPr="006973B5">
        <w:rPr>
          <w:rFonts w:ascii="Times New Roman" w:hAnsi="Times New Roman" w:cs="Times New Roman"/>
          <w:sz w:val="24"/>
          <w:szCs w:val="24"/>
        </w:rPr>
        <w:t>.</w:t>
      </w:r>
    </w:p>
    <w:p w:rsidR="004D68E9" w:rsidRPr="006973B5" w:rsidRDefault="004D68E9" w:rsidP="004D68E9">
      <w:pPr>
        <w:pStyle w:val="Paragraphedeliste"/>
        <w:rPr>
          <w:rFonts w:ascii="Times New Roman" w:hAnsi="Times New Roman" w:cs="Times New Roman"/>
          <w:sz w:val="24"/>
          <w:szCs w:val="24"/>
        </w:rPr>
      </w:pPr>
    </w:p>
    <w:p w:rsidR="00B94A60" w:rsidRPr="006973B5" w:rsidRDefault="00B94A60" w:rsidP="00636AD7">
      <w:pPr>
        <w:pStyle w:val="Paragraphedeliste"/>
        <w:numPr>
          <w:ilvl w:val="0"/>
          <w:numId w:val="10"/>
        </w:numPr>
        <w:autoSpaceDE w:val="0"/>
        <w:autoSpaceDN w:val="0"/>
        <w:adjustRightInd w:val="0"/>
        <w:spacing w:after="0" w:line="276" w:lineRule="auto"/>
        <w:jc w:val="both"/>
        <w:rPr>
          <w:rFonts w:ascii="Times New Roman" w:hAnsi="Times New Roman" w:cs="Times New Roman"/>
          <w:sz w:val="24"/>
          <w:szCs w:val="24"/>
        </w:rPr>
      </w:pPr>
      <w:r w:rsidRPr="006973B5">
        <w:rPr>
          <w:rFonts w:ascii="Times New Roman" w:hAnsi="Times New Roman" w:cs="Times New Roman"/>
          <w:sz w:val="24"/>
          <w:szCs w:val="24"/>
          <w:u w:val="single"/>
        </w:rPr>
        <w:t>L’apport de</w:t>
      </w:r>
      <w:r w:rsidR="00F365C9" w:rsidRPr="006973B5">
        <w:rPr>
          <w:rFonts w:ascii="Times New Roman" w:hAnsi="Times New Roman" w:cs="Times New Roman"/>
          <w:sz w:val="24"/>
          <w:szCs w:val="24"/>
          <w:u w:val="single"/>
        </w:rPr>
        <w:t>s émigrés</w:t>
      </w:r>
      <w:r w:rsidR="00F365C9" w:rsidRPr="006973B5">
        <w:rPr>
          <w:rFonts w:ascii="Times New Roman" w:hAnsi="Times New Roman" w:cs="Times New Roman"/>
          <w:sz w:val="24"/>
          <w:szCs w:val="24"/>
        </w:rPr>
        <w:t xml:space="preserve"> : la région est connue comme étant le premier point de départs de migrants vers l’Europe. </w:t>
      </w:r>
      <w:r w:rsidR="00636AD7" w:rsidRPr="006973B5">
        <w:rPr>
          <w:rFonts w:ascii="Times New Roman" w:hAnsi="Times New Roman" w:cs="Times New Roman"/>
          <w:sz w:val="24"/>
          <w:szCs w:val="24"/>
        </w:rPr>
        <w:t xml:space="preserve">Les flux financiers transférés par ces migrants constituent </w:t>
      </w:r>
      <w:r w:rsidR="00E857FE" w:rsidRPr="006973B5">
        <w:rPr>
          <w:rFonts w:ascii="Times New Roman" w:hAnsi="Times New Roman" w:cs="Times New Roman"/>
          <w:sz w:val="24"/>
          <w:szCs w:val="24"/>
        </w:rPr>
        <w:t>des ressources</w:t>
      </w:r>
      <w:r w:rsidR="00636AD7" w:rsidRPr="006973B5">
        <w:rPr>
          <w:rFonts w:ascii="Times New Roman" w:hAnsi="Times New Roman" w:cs="Times New Roman"/>
          <w:sz w:val="24"/>
          <w:szCs w:val="24"/>
        </w:rPr>
        <w:t xml:space="preserve"> </w:t>
      </w:r>
      <w:r w:rsidR="00E857FE" w:rsidRPr="006973B5">
        <w:rPr>
          <w:rFonts w:ascii="Times New Roman" w:hAnsi="Times New Roman" w:cs="Times New Roman"/>
          <w:sz w:val="24"/>
          <w:szCs w:val="24"/>
        </w:rPr>
        <w:t xml:space="preserve">importantes </w:t>
      </w:r>
      <w:r w:rsidR="00636AD7" w:rsidRPr="006973B5">
        <w:rPr>
          <w:rFonts w:ascii="Times New Roman" w:hAnsi="Times New Roman" w:cs="Times New Roman"/>
          <w:sz w:val="24"/>
          <w:szCs w:val="24"/>
        </w:rPr>
        <w:t>qui pourr</w:t>
      </w:r>
      <w:r w:rsidR="00E857FE" w:rsidRPr="006973B5">
        <w:rPr>
          <w:rFonts w:ascii="Times New Roman" w:hAnsi="Times New Roman" w:cs="Times New Roman"/>
          <w:sz w:val="24"/>
          <w:szCs w:val="24"/>
        </w:rPr>
        <w:t>ont</w:t>
      </w:r>
      <w:r w:rsidR="00636AD7" w:rsidRPr="006973B5">
        <w:rPr>
          <w:rFonts w:ascii="Times New Roman" w:hAnsi="Times New Roman" w:cs="Times New Roman"/>
          <w:sz w:val="24"/>
          <w:szCs w:val="24"/>
        </w:rPr>
        <w:t xml:space="preserve"> contribuer au développement économique de la région. </w:t>
      </w:r>
    </w:p>
    <w:p w:rsidR="00A42923" w:rsidRPr="006973B5" w:rsidRDefault="00A42923" w:rsidP="00A42923">
      <w:pPr>
        <w:pStyle w:val="Paragraphedeliste"/>
        <w:rPr>
          <w:rFonts w:ascii="Times New Roman" w:hAnsi="Times New Roman" w:cs="Times New Roman"/>
          <w:sz w:val="24"/>
          <w:szCs w:val="24"/>
        </w:rPr>
      </w:pPr>
    </w:p>
    <w:p w:rsidR="00A42923" w:rsidRPr="006973B5" w:rsidRDefault="00A42923" w:rsidP="00937EDF">
      <w:pPr>
        <w:pStyle w:val="Paragraphedeliste"/>
        <w:numPr>
          <w:ilvl w:val="2"/>
          <w:numId w:val="14"/>
        </w:numPr>
        <w:rPr>
          <w:rFonts w:ascii="Times New Roman" w:hAnsi="Times New Roman" w:cs="Times New Roman"/>
          <w:b/>
          <w:bCs/>
          <w:i/>
          <w:iCs/>
          <w:sz w:val="24"/>
          <w:szCs w:val="20"/>
        </w:rPr>
      </w:pPr>
      <w:r w:rsidRPr="006973B5">
        <w:rPr>
          <w:rFonts w:ascii="Times New Roman" w:hAnsi="Times New Roman" w:cs="Times New Roman"/>
          <w:b/>
          <w:bCs/>
          <w:i/>
          <w:iCs/>
          <w:sz w:val="24"/>
          <w:szCs w:val="20"/>
        </w:rPr>
        <w:t>Les filières porteuses de la région</w:t>
      </w:r>
    </w:p>
    <w:p w:rsidR="00A42923" w:rsidRPr="006973B5" w:rsidRDefault="008C2C1A" w:rsidP="00A42923">
      <w:pPr>
        <w:autoSpaceDE w:val="0"/>
        <w:autoSpaceDN w:val="0"/>
        <w:adjustRightInd w:val="0"/>
        <w:spacing w:after="0" w:line="276" w:lineRule="auto"/>
        <w:jc w:val="both"/>
        <w:rPr>
          <w:rFonts w:ascii="Times New Roman" w:hAnsi="Times New Roman" w:cs="Times New Roman"/>
          <w:sz w:val="24"/>
          <w:szCs w:val="24"/>
        </w:rPr>
      </w:pPr>
      <w:r w:rsidRPr="006973B5">
        <w:rPr>
          <w:rFonts w:ascii="Times New Roman" w:hAnsi="Times New Roman" w:cs="Times New Roman"/>
          <w:sz w:val="24"/>
          <w:szCs w:val="24"/>
        </w:rPr>
        <w:t xml:space="preserve">Les études </w:t>
      </w:r>
      <w:r w:rsidR="00550FD0" w:rsidRPr="006973B5">
        <w:rPr>
          <w:rFonts w:ascii="Times New Roman" w:hAnsi="Times New Roman" w:cs="Times New Roman"/>
          <w:sz w:val="24"/>
          <w:szCs w:val="24"/>
        </w:rPr>
        <w:t xml:space="preserve">réalisées </w:t>
      </w:r>
      <w:r w:rsidR="00C41358" w:rsidRPr="006973B5">
        <w:rPr>
          <w:rFonts w:ascii="Times New Roman" w:hAnsi="Times New Roman" w:cs="Times New Roman"/>
          <w:sz w:val="24"/>
          <w:szCs w:val="24"/>
        </w:rPr>
        <w:t xml:space="preserve">relatives au </w:t>
      </w:r>
      <w:r w:rsidR="00550FD0" w:rsidRPr="006973B5">
        <w:rPr>
          <w:rFonts w:ascii="Times New Roman" w:hAnsi="Times New Roman" w:cs="Times New Roman"/>
          <w:sz w:val="24"/>
          <w:szCs w:val="24"/>
        </w:rPr>
        <w:t>diagnostic</w:t>
      </w:r>
      <w:r w:rsidR="00C41358" w:rsidRPr="006973B5">
        <w:rPr>
          <w:rFonts w:ascii="Times New Roman" w:hAnsi="Times New Roman" w:cs="Times New Roman"/>
          <w:sz w:val="24"/>
          <w:szCs w:val="24"/>
        </w:rPr>
        <w:t xml:space="preserve"> des secteurs économiques porteurs le plan stratégique de développement de la région ont permis d’identifier certaines filières porteuses.  Nous présentons dans le tableau ci-dessous, les filières concernées en faisant ressortir </w:t>
      </w:r>
      <w:r w:rsidR="00AD4D0A" w:rsidRPr="006973B5">
        <w:rPr>
          <w:rFonts w:ascii="Times New Roman" w:hAnsi="Times New Roman" w:cs="Times New Roman"/>
          <w:sz w:val="24"/>
          <w:szCs w:val="24"/>
        </w:rPr>
        <w:t>leurs potentialités</w:t>
      </w:r>
      <w:r w:rsidR="00C41358" w:rsidRPr="006973B5">
        <w:rPr>
          <w:rFonts w:ascii="Times New Roman" w:hAnsi="Times New Roman" w:cs="Times New Roman"/>
          <w:sz w:val="24"/>
          <w:szCs w:val="24"/>
        </w:rPr>
        <w:t xml:space="preserve"> et contraintes et les actions à entreprendre en vue de leur développement.</w:t>
      </w:r>
    </w:p>
    <w:p w:rsidR="00C41358" w:rsidRPr="006973B5" w:rsidRDefault="00C41358" w:rsidP="00A42923">
      <w:pPr>
        <w:autoSpaceDE w:val="0"/>
        <w:autoSpaceDN w:val="0"/>
        <w:adjustRightInd w:val="0"/>
        <w:spacing w:after="0" w:line="276" w:lineRule="auto"/>
        <w:jc w:val="both"/>
        <w:rPr>
          <w:rFonts w:ascii="Times New Roman" w:hAnsi="Times New Roman" w:cs="Times New Roman"/>
          <w:sz w:val="24"/>
          <w:szCs w:val="24"/>
        </w:rPr>
        <w:sectPr w:rsidR="00C41358" w:rsidRPr="006973B5" w:rsidSect="00AD3E3E">
          <w:pgSz w:w="11906" w:h="16838"/>
          <w:pgMar w:top="1134" w:right="1134" w:bottom="1134" w:left="1134" w:header="709" w:footer="709" w:gutter="0"/>
          <w:pgNumType w:start="1"/>
          <w:cols w:space="708"/>
          <w:docGrid w:linePitch="360"/>
        </w:sectPr>
      </w:pPr>
    </w:p>
    <w:p w:rsidR="00C41358" w:rsidRPr="006973B5" w:rsidRDefault="00C41358" w:rsidP="00A42923">
      <w:pPr>
        <w:autoSpaceDE w:val="0"/>
        <w:autoSpaceDN w:val="0"/>
        <w:adjustRightInd w:val="0"/>
        <w:spacing w:after="0" w:line="276" w:lineRule="auto"/>
        <w:jc w:val="both"/>
        <w:rPr>
          <w:rFonts w:ascii="Times New Roman" w:hAnsi="Times New Roman" w:cs="Times New Roman"/>
          <w:sz w:val="24"/>
          <w:szCs w:val="24"/>
        </w:rPr>
      </w:pPr>
    </w:p>
    <w:p w:rsidR="00074A3F" w:rsidRPr="006973B5" w:rsidRDefault="00074A3F" w:rsidP="00A42923">
      <w:pPr>
        <w:autoSpaceDE w:val="0"/>
        <w:autoSpaceDN w:val="0"/>
        <w:adjustRightInd w:val="0"/>
        <w:spacing w:after="0" w:line="276"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2253"/>
        <w:gridCol w:w="1917"/>
        <w:gridCol w:w="1975"/>
        <w:gridCol w:w="3488"/>
        <w:gridCol w:w="4927"/>
      </w:tblGrid>
      <w:tr w:rsidR="00EC45A2" w:rsidRPr="006973B5" w:rsidTr="00074A3F">
        <w:trPr>
          <w:trHeight w:val="176"/>
          <w:tblHeader/>
        </w:trPr>
        <w:tc>
          <w:tcPr>
            <w:tcW w:w="2289" w:type="dxa"/>
          </w:tcPr>
          <w:p w:rsidR="00EC45A2" w:rsidRPr="006973B5" w:rsidRDefault="00EC45A2" w:rsidP="00A42923">
            <w:pPr>
              <w:autoSpaceDE w:val="0"/>
              <w:autoSpaceDN w:val="0"/>
              <w:adjustRightInd w:val="0"/>
              <w:spacing w:line="276" w:lineRule="auto"/>
              <w:jc w:val="both"/>
              <w:rPr>
                <w:rFonts w:ascii="Times New Roman" w:hAnsi="Times New Roman" w:cs="Times New Roman"/>
                <w:b/>
                <w:sz w:val="28"/>
                <w:szCs w:val="28"/>
              </w:rPr>
            </w:pPr>
            <w:r w:rsidRPr="006973B5">
              <w:rPr>
                <w:rFonts w:ascii="Times New Roman" w:hAnsi="Times New Roman" w:cs="Times New Roman"/>
                <w:b/>
                <w:sz w:val="28"/>
                <w:szCs w:val="28"/>
              </w:rPr>
              <w:t>Grande famille</w:t>
            </w:r>
          </w:p>
        </w:tc>
        <w:tc>
          <w:tcPr>
            <w:tcW w:w="1930" w:type="dxa"/>
          </w:tcPr>
          <w:p w:rsidR="00EC45A2" w:rsidRPr="006973B5" w:rsidRDefault="00EC45A2" w:rsidP="00A42923">
            <w:pPr>
              <w:autoSpaceDE w:val="0"/>
              <w:autoSpaceDN w:val="0"/>
              <w:adjustRightInd w:val="0"/>
              <w:spacing w:line="276" w:lineRule="auto"/>
              <w:jc w:val="both"/>
              <w:rPr>
                <w:rFonts w:ascii="Times New Roman" w:hAnsi="Times New Roman" w:cs="Times New Roman"/>
                <w:sz w:val="28"/>
                <w:szCs w:val="28"/>
              </w:rPr>
            </w:pPr>
            <w:r w:rsidRPr="006973B5">
              <w:rPr>
                <w:rFonts w:ascii="Times New Roman" w:hAnsi="Times New Roman" w:cs="Times New Roman"/>
                <w:b/>
                <w:bCs/>
                <w:sz w:val="28"/>
                <w:szCs w:val="28"/>
              </w:rPr>
              <w:t>Principales filières</w:t>
            </w:r>
          </w:p>
        </w:tc>
        <w:tc>
          <w:tcPr>
            <w:tcW w:w="1985" w:type="dxa"/>
          </w:tcPr>
          <w:p w:rsidR="00EC45A2" w:rsidRPr="006973B5" w:rsidRDefault="00EC45A2" w:rsidP="00EC45A2">
            <w:pPr>
              <w:autoSpaceDE w:val="0"/>
              <w:autoSpaceDN w:val="0"/>
              <w:adjustRightInd w:val="0"/>
              <w:spacing w:line="276" w:lineRule="auto"/>
              <w:jc w:val="both"/>
              <w:rPr>
                <w:rFonts w:ascii="Times New Roman" w:hAnsi="Times New Roman" w:cs="Times New Roman"/>
                <w:sz w:val="28"/>
                <w:szCs w:val="28"/>
              </w:rPr>
            </w:pPr>
            <w:r w:rsidRPr="006973B5">
              <w:rPr>
                <w:rFonts w:ascii="Times New Roman" w:hAnsi="Times New Roman" w:cs="Times New Roman"/>
                <w:b/>
                <w:bCs/>
                <w:sz w:val="28"/>
                <w:szCs w:val="28"/>
              </w:rPr>
              <w:t xml:space="preserve">Potentialités </w:t>
            </w:r>
          </w:p>
        </w:tc>
        <w:tc>
          <w:tcPr>
            <w:tcW w:w="3543" w:type="dxa"/>
          </w:tcPr>
          <w:p w:rsidR="00EC45A2" w:rsidRPr="006973B5" w:rsidRDefault="00EC45A2" w:rsidP="00A42923">
            <w:pPr>
              <w:autoSpaceDE w:val="0"/>
              <w:autoSpaceDN w:val="0"/>
              <w:adjustRightInd w:val="0"/>
              <w:spacing w:line="276" w:lineRule="auto"/>
              <w:jc w:val="both"/>
              <w:rPr>
                <w:rFonts w:ascii="Times New Roman" w:hAnsi="Times New Roman" w:cs="Times New Roman"/>
                <w:b/>
                <w:bCs/>
                <w:sz w:val="28"/>
                <w:szCs w:val="28"/>
              </w:rPr>
            </w:pPr>
            <w:r w:rsidRPr="006973B5">
              <w:rPr>
                <w:rFonts w:ascii="Times New Roman" w:hAnsi="Times New Roman" w:cs="Times New Roman"/>
                <w:b/>
                <w:bCs/>
                <w:sz w:val="28"/>
                <w:szCs w:val="28"/>
              </w:rPr>
              <w:t>Contraintes</w:t>
            </w:r>
          </w:p>
        </w:tc>
        <w:tc>
          <w:tcPr>
            <w:tcW w:w="5039" w:type="dxa"/>
          </w:tcPr>
          <w:p w:rsidR="00EC45A2" w:rsidRPr="006973B5" w:rsidRDefault="00EC45A2" w:rsidP="00E95AA4">
            <w:pPr>
              <w:autoSpaceDE w:val="0"/>
              <w:autoSpaceDN w:val="0"/>
              <w:adjustRightInd w:val="0"/>
              <w:spacing w:line="276" w:lineRule="auto"/>
              <w:jc w:val="both"/>
              <w:rPr>
                <w:rFonts w:ascii="Times New Roman" w:hAnsi="Times New Roman" w:cs="Times New Roman"/>
                <w:sz w:val="28"/>
                <w:szCs w:val="28"/>
              </w:rPr>
            </w:pPr>
            <w:r w:rsidRPr="006973B5">
              <w:rPr>
                <w:rFonts w:ascii="Times New Roman" w:hAnsi="Times New Roman" w:cs="Times New Roman"/>
                <w:b/>
                <w:bCs/>
                <w:sz w:val="28"/>
                <w:szCs w:val="28"/>
              </w:rPr>
              <w:t xml:space="preserve">Actions </w:t>
            </w:r>
            <w:r w:rsidR="00BC209D" w:rsidRPr="006973B5">
              <w:rPr>
                <w:rFonts w:ascii="Times New Roman" w:hAnsi="Times New Roman" w:cs="Times New Roman"/>
                <w:b/>
                <w:bCs/>
                <w:sz w:val="28"/>
                <w:szCs w:val="28"/>
              </w:rPr>
              <w:t>devant être entreprise</w:t>
            </w:r>
            <w:r w:rsidR="00E95AA4" w:rsidRPr="006973B5">
              <w:rPr>
                <w:rFonts w:ascii="Times New Roman" w:hAnsi="Times New Roman" w:cs="Times New Roman"/>
                <w:b/>
                <w:bCs/>
                <w:sz w:val="28"/>
                <w:szCs w:val="28"/>
              </w:rPr>
              <w:t>s pour créer des emplois et développer la filière</w:t>
            </w:r>
          </w:p>
        </w:tc>
      </w:tr>
      <w:tr w:rsidR="00EC45A2" w:rsidRPr="006973B5" w:rsidTr="00903E3E">
        <w:trPr>
          <w:trHeight w:val="171"/>
        </w:trPr>
        <w:tc>
          <w:tcPr>
            <w:tcW w:w="2289" w:type="dxa"/>
            <w:vMerge w:val="restart"/>
          </w:tcPr>
          <w:p w:rsidR="00EC45A2" w:rsidRPr="006973B5" w:rsidRDefault="00EC45A2" w:rsidP="00A42923">
            <w:pPr>
              <w:autoSpaceDE w:val="0"/>
              <w:autoSpaceDN w:val="0"/>
              <w:adjustRightInd w:val="0"/>
              <w:spacing w:line="276" w:lineRule="auto"/>
              <w:jc w:val="both"/>
              <w:rPr>
                <w:rFonts w:ascii="Times New Roman" w:hAnsi="Times New Roman" w:cs="Times New Roman"/>
                <w:sz w:val="20"/>
                <w:szCs w:val="20"/>
              </w:rPr>
            </w:pPr>
            <w:r w:rsidRPr="006973B5">
              <w:rPr>
                <w:rFonts w:ascii="Times New Roman" w:hAnsi="Times New Roman" w:cs="Times New Roman"/>
                <w:sz w:val="20"/>
                <w:szCs w:val="20"/>
              </w:rPr>
              <w:t>Agriculture</w:t>
            </w:r>
          </w:p>
        </w:tc>
        <w:tc>
          <w:tcPr>
            <w:tcW w:w="1930" w:type="dxa"/>
          </w:tcPr>
          <w:p w:rsidR="00EC45A2" w:rsidRPr="006973B5" w:rsidRDefault="00EC45A2" w:rsidP="00A42923">
            <w:pPr>
              <w:autoSpaceDE w:val="0"/>
              <w:autoSpaceDN w:val="0"/>
              <w:adjustRightInd w:val="0"/>
              <w:spacing w:line="276" w:lineRule="auto"/>
              <w:jc w:val="both"/>
              <w:rPr>
                <w:rFonts w:ascii="Times New Roman" w:hAnsi="Times New Roman" w:cs="Times New Roman"/>
                <w:sz w:val="20"/>
                <w:szCs w:val="20"/>
              </w:rPr>
            </w:pPr>
            <w:r w:rsidRPr="006973B5">
              <w:rPr>
                <w:rFonts w:ascii="Times New Roman" w:hAnsi="Times New Roman" w:cs="Times New Roman"/>
                <w:sz w:val="20"/>
                <w:szCs w:val="20"/>
              </w:rPr>
              <w:t>Filière céréalière</w:t>
            </w:r>
          </w:p>
        </w:tc>
        <w:tc>
          <w:tcPr>
            <w:tcW w:w="1985" w:type="dxa"/>
          </w:tcPr>
          <w:p w:rsidR="00903E3E" w:rsidRPr="006973B5" w:rsidRDefault="00903E3E" w:rsidP="00903E3E">
            <w:pPr>
              <w:autoSpaceDE w:val="0"/>
              <w:autoSpaceDN w:val="0"/>
              <w:adjustRightInd w:val="0"/>
              <w:rPr>
                <w:rFonts w:ascii="Times New Roman" w:hAnsi="Times New Roman" w:cs="Times New Roman"/>
                <w:sz w:val="20"/>
                <w:szCs w:val="20"/>
              </w:rPr>
            </w:pPr>
            <w:r w:rsidRPr="006973B5">
              <w:rPr>
                <w:rFonts w:ascii="Times New Roman" w:hAnsi="Times New Roman" w:cs="Times New Roman"/>
                <w:sz w:val="20"/>
                <w:szCs w:val="20"/>
              </w:rPr>
              <w:t>Potentialités agro-climatiques, hydriques et</w:t>
            </w:r>
          </w:p>
          <w:p w:rsidR="00EC45A2" w:rsidRPr="006973B5" w:rsidRDefault="00903E3E" w:rsidP="00903E3E">
            <w:pPr>
              <w:autoSpaceDE w:val="0"/>
              <w:autoSpaceDN w:val="0"/>
              <w:adjustRightInd w:val="0"/>
              <w:spacing w:line="276" w:lineRule="auto"/>
              <w:rPr>
                <w:rFonts w:ascii="Times New Roman" w:hAnsi="Times New Roman" w:cs="Times New Roman"/>
                <w:sz w:val="20"/>
                <w:szCs w:val="20"/>
              </w:rPr>
            </w:pPr>
            <w:r w:rsidRPr="006973B5">
              <w:rPr>
                <w:rFonts w:ascii="Times New Roman" w:hAnsi="Times New Roman" w:cs="Times New Roman"/>
                <w:sz w:val="20"/>
                <w:szCs w:val="20"/>
              </w:rPr>
              <w:t>en terres irrigables</w:t>
            </w:r>
          </w:p>
        </w:tc>
        <w:tc>
          <w:tcPr>
            <w:tcW w:w="3543" w:type="dxa"/>
          </w:tcPr>
          <w:p w:rsidR="00903E3E" w:rsidRPr="006973B5" w:rsidRDefault="00903E3E" w:rsidP="00903E3E">
            <w:pPr>
              <w:autoSpaceDE w:val="0"/>
              <w:autoSpaceDN w:val="0"/>
              <w:adjustRightInd w:val="0"/>
              <w:rPr>
                <w:rFonts w:ascii="Times New Roman" w:hAnsi="Times New Roman" w:cs="Times New Roman"/>
                <w:sz w:val="20"/>
                <w:szCs w:val="20"/>
              </w:rPr>
            </w:pPr>
            <w:r w:rsidRPr="006973B5">
              <w:rPr>
                <w:rFonts w:ascii="Times New Roman" w:hAnsi="Times New Roman" w:cs="Times New Roman"/>
                <w:sz w:val="20"/>
                <w:szCs w:val="20"/>
              </w:rPr>
              <w:t>- déficit en équipements et matériels agricoles ;</w:t>
            </w:r>
          </w:p>
          <w:p w:rsidR="00903E3E" w:rsidRPr="006973B5" w:rsidRDefault="00903E3E" w:rsidP="00903E3E">
            <w:pPr>
              <w:autoSpaceDE w:val="0"/>
              <w:autoSpaceDN w:val="0"/>
              <w:adjustRightInd w:val="0"/>
              <w:rPr>
                <w:rFonts w:ascii="Times New Roman" w:hAnsi="Times New Roman" w:cs="Times New Roman"/>
                <w:sz w:val="20"/>
                <w:szCs w:val="20"/>
              </w:rPr>
            </w:pPr>
            <w:r w:rsidRPr="006973B5">
              <w:rPr>
                <w:rFonts w:ascii="Calibri" w:hAnsi="Calibri" w:cs="Calibri"/>
                <w:sz w:val="20"/>
                <w:szCs w:val="20"/>
              </w:rPr>
              <w:t xml:space="preserve">- </w:t>
            </w:r>
            <w:r w:rsidRPr="006973B5">
              <w:rPr>
                <w:rFonts w:ascii="Times New Roman" w:hAnsi="Times New Roman" w:cs="Times New Roman"/>
                <w:sz w:val="20"/>
                <w:szCs w:val="20"/>
              </w:rPr>
              <w:t>enclavement des zones de production ;</w:t>
            </w:r>
          </w:p>
          <w:p w:rsidR="00903E3E" w:rsidRPr="006973B5" w:rsidRDefault="00903E3E" w:rsidP="00903E3E">
            <w:pPr>
              <w:autoSpaceDE w:val="0"/>
              <w:autoSpaceDN w:val="0"/>
              <w:adjustRightInd w:val="0"/>
              <w:rPr>
                <w:rFonts w:ascii="Times New Roman" w:hAnsi="Times New Roman" w:cs="Times New Roman"/>
                <w:sz w:val="20"/>
                <w:szCs w:val="20"/>
              </w:rPr>
            </w:pPr>
            <w:r w:rsidRPr="006973B5">
              <w:rPr>
                <w:rFonts w:ascii="Calibri" w:hAnsi="Calibri" w:cs="Calibri"/>
                <w:sz w:val="20"/>
                <w:szCs w:val="20"/>
              </w:rPr>
              <w:t xml:space="preserve">- </w:t>
            </w:r>
            <w:r w:rsidRPr="006973B5">
              <w:rPr>
                <w:rFonts w:ascii="Times New Roman" w:hAnsi="Times New Roman" w:cs="Times New Roman"/>
                <w:sz w:val="20"/>
                <w:szCs w:val="20"/>
              </w:rPr>
              <w:t>difficulté d’approvisionnement en semences et produits phytosanitaires ;</w:t>
            </w:r>
          </w:p>
          <w:p w:rsidR="00903E3E" w:rsidRPr="006973B5" w:rsidRDefault="00903E3E" w:rsidP="00903E3E">
            <w:pPr>
              <w:autoSpaceDE w:val="0"/>
              <w:autoSpaceDN w:val="0"/>
              <w:adjustRightInd w:val="0"/>
              <w:rPr>
                <w:rFonts w:ascii="Times New Roman" w:hAnsi="Times New Roman" w:cs="Times New Roman"/>
                <w:sz w:val="20"/>
                <w:szCs w:val="20"/>
              </w:rPr>
            </w:pPr>
            <w:r w:rsidRPr="006973B5">
              <w:rPr>
                <w:rFonts w:ascii="Calibri" w:hAnsi="Calibri" w:cs="Calibri"/>
                <w:sz w:val="20"/>
                <w:szCs w:val="20"/>
              </w:rPr>
              <w:t xml:space="preserve">- </w:t>
            </w:r>
            <w:r w:rsidRPr="006973B5">
              <w:rPr>
                <w:rFonts w:ascii="Times New Roman" w:hAnsi="Times New Roman" w:cs="Times New Roman"/>
                <w:sz w:val="20"/>
                <w:szCs w:val="20"/>
              </w:rPr>
              <w:t>faible niveau de maîtrise des ressources en eau ;</w:t>
            </w:r>
          </w:p>
          <w:p w:rsidR="00EC45A2" w:rsidRPr="006973B5" w:rsidRDefault="00903E3E" w:rsidP="00903E3E">
            <w:pPr>
              <w:autoSpaceDE w:val="0"/>
              <w:autoSpaceDN w:val="0"/>
              <w:adjustRightInd w:val="0"/>
              <w:spacing w:line="276" w:lineRule="auto"/>
              <w:rPr>
                <w:rFonts w:ascii="Times New Roman" w:hAnsi="Times New Roman" w:cs="Times New Roman"/>
                <w:sz w:val="20"/>
                <w:szCs w:val="20"/>
              </w:rPr>
            </w:pPr>
            <w:r w:rsidRPr="006973B5">
              <w:rPr>
                <w:rFonts w:ascii="Calibri" w:hAnsi="Calibri" w:cs="Calibri"/>
                <w:sz w:val="20"/>
                <w:szCs w:val="20"/>
              </w:rPr>
              <w:t xml:space="preserve">- </w:t>
            </w:r>
            <w:r w:rsidRPr="006973B5">
              <w:rPr>
                <w:rFonts w:ascii="Times New Roman" w:hAnsi="Times New Roman" w:cs="Times New Roman"/>
                <w:sz w:val="20"/>
                <w:szCs w:val="20"/>
              </w:rPr>
              <w:t>faible niveau d’organisation des acteurs du secteur</w:t>
            </w:r>
          </w:p>
        </w:tc>
        <w:tc>
          <w:tcPr>
            <w:tcW w:w="5039" w:type="dxa"/>
          </w:tcPr>
          <w:p w:rsidR="00903E3E" w:rsidRPr="006973B5" w:rsidRDefault="00903E3E" w:rsidP="00903E3E">
            <w:pPr>
              <w:autoSpaceDE w:val="0"/>
              <w:autoSpaceDN w:val="0"/>
              <w:adjustRightInd w:val="0"/>
              <w:rPr>
                <w:rFonts w:ascii="Times New Roman" w:hAnsi="Times New Roman" w:cs="Times New Roman"/>
                <w:sz w:val="20"/>
                <w:szCs w:val="20"/>
              </w:rPr>
            </w:pPr>
            <w:r w:rsidRPr="006973B5">
              <w:rPr>
                <w:rFonts w:ascii="Times New Roman" w:hAnsi="Times New Roman" w:cs="Times New Roman"/>
                <w:sz w:val="20"/>
                <w:szCs w:val="20"/>
              </w:rPr>
              <w:t>- la transformation des produits agricoles ;</w:t>
            </w:r>
          </w:p>
          <w:p w:rsidR="00903E3E" w:rsidRPr="006973B5" w:rsidRDefault="00903E3E" w:rsidP="00903E3E">
            <w:pPr>
              <w:autoSpaceDE w:val="0"/>
              <w:autoSpaceDN w:val="0"/>
              <w:adjustRightInd w:val="0"/>
              <w:rPr>
                <w:rFonts w:ascii="Times New Roman" w:hAnsi="Times New Roman" w:cs="Times New Roman"/>
                <w:sz w:val="20"/>
                <w:szCs w:val="20"/>
              </w:rPr>
            </w:pPr>
            <w:r w:rsidRPr="006973B5">
              <w:rPr>
                <w:rFonts w:ascii="Times New Roman" w:hAnsi="Times New Roman" w:cs="Times New Roman"/>
                <w:sz w:val="20"/>
                <w:szCs w:val="20"/>
              </w:rPr>
              <w:t>- la mise en place d’un système de crédit agricole (matériels agricoles, intrants, etc.) accessible aux agriculteurs</w:t>
            </w:r>
            <w:r w:rsidR="002A0E3E" w:rsidRPr="006973B5">
              <w:rPr>
                <w:rFonts w:ascii="Times New Roman" w:hAnsi="Times New Roman" w:cs="Times New Roman"/>
                <w:sz w:val="20"/>
                <w:szCs w:val="20"/>
              </w:rPr>
              <w:t xml:space="preserve"> </w:t>
            </w:r>
            <w:r w:rsidRPr="006973B5">
              <w:rPr>
                <w:rFonts w:ascii="Times New Roman" w:hAnsi="Times New Roman" w:cs="Times New Roman"/>
                <w:sz w:val="20"/>
                <w:szCs w:val="20"/>
              </w:rPr>
              <w:t xml:space="preserve">étant donné la faiblesse de leurs revenus ; </w:t>
            </w:r>
          </w:p>
          <w:p w:rsidR="002A0E3E" w:rsidRPr="006973B5" w:rsidRDefault="00903E3E" w:rsidP="00903E3E">
            <w:pPr>
              <w:autoSpaceDE w:val="0"/>
              <w:autoSpaceDN w:val="0"/>
              <w:adjustRightInd w:val="0"/>
              <w:rPr>
                <w:rFonts w:ascii="Times New Roman" w:hAnsi="Times New Roman" w:cs="Times New Roman"/>
                <w:sz w:val="20"/>
                <w:szCs w:val="20"/>
              </w:rPr>
            </w:pPr>
            <w:r w:rsidRPr="006973B5">
              <w:rPr>
                <w:rFonts w:ascii="Times New Roman" w:hAnsi="Times New Roman" w:cs="Times New Roman"/>
                <w:sz w:val="20"/>
                <w:szCs w:val="20"/>
              </w:rPr>
              <w:t>- la création d’infrastructures de conservation, de conditionnement et de transfo</w:t>
            </w:r>
            <w:r w:rsidR="00C9047B" w:rsidRPr="006973B5">
              <w:rPr>
                <w:rFonts w:ascii="Times New Roman" w:hAnsi="Times New Roman" w:cs="Times New Roman"/>
                <w:sz w:val="20"/>
                <w:szCs w:val="20"/>
              </w:rPr>
              <w:t>rmation des produits agricoles ;</w:t>
            </w:r>
          </w:p>
          <w:p w:rsidR="00903E3E" w:rsidRPr="006973B5" w:rsidRDefault="002A0E3E" w:rsidP="00903E3E">
            <w:pPr>
              <w:autoSpaceDE w:val="0"/>
              <w:autoSpaceDN w:val="0"/>
              <w:adjustRightInd w:val="0"/>
              <w:rPr>
                <w:rFonts w:ascii="Times New Roman" w:hAnsi="Times New Roman" w:cs="Times New Roman"/>
                <w:sz w:val="20"/>
                <w:szCs w:val="20"/>
              </w:rPr>
            </w:pPr>
            <w:r w:rsidRPr="006973B5">
              <w:rPr>
                <w:rFonts w:ascii="Times New Roman" w:hAnsi="Times New Roman" w:cs="Times New Roman"/>
                <w:sz w:val="20"/>
                <w:szCs w:val="20"/>
              </w:rPr>
              <w:t xml:space="preserve">- </w:t>
            </w:r>
            <w:r w:rsidR="00903E3E" w:rsidRPr="006973B5">
              <w:rPr>
                <w:rFonts w:ascii="Times New Roman" w:hAnsi="Times New Roman" w:cs="Times New Roman"/>
                <w:sz w:val="20"/>
                <w:szCs w:val="20"/>
              </w:rPr>
              <w:t>l’équipement</w:t>
            </w:r>
            <w:r w:rsidRPr="006973B5">
              <w:rPr>
                <w:rFonts w:ascii="Times New Roman" w:hAnsi="Times New Roman" w:cs="Times New Roman"/>
                <w:sz w:val="20"/>
                <w:szCs w:val="20"/>
              </w:rPr>
              <w:t xml:space="preserve"> </w:t>
            </w:r>
            <w:r w:rsidR="00903E3E" w:rsidRPr="006973B5">
              <w:rPr>
                <w:rFonts w:ascii="Times New Roman" w:hAnsi="Times New Roman" w:cs="Times New Roman"/>
                <w:sz w:val="20"/>
                <w:szCs w:val="20"/>
              </w:rPr>
              <w:t xml:space="preserve">et la formation des producteurs, ainsi que leur organisation et </w:t>
            </w:r>
            <w:r w:rsidRPr="006973B5">
              <w:rPr>
                <w:rFonts w:ascii="Times New Roman" w:hAnsi="Times New Roman" w:cs="Times New Roman"/>
                <w:sz w:val="20"/>
                <w:szCs w:val="20"/>
              </w:rPr>
              <w:t>renforcement de leurs capacités ;</w:t>
            </w:r>
          </w:p>
          <w:p w:rsidR="00EC45A2" w:rsidRPr="006973B5" w:rsidRDefault="002A0E3E" w:rsidP="000D75A6">
            <w:pPr>
              <w:autoSpaceDE w:val="0"/>
              <w:autoSpaceDN w:val="0"/>
              <w:adjustRightInd w:val="0"/>
              <w:rPr>
                <w:rFonts w:ascii="Times New Roman" w:hAnsi="Times New Roman" w:cs="Times New Roman"/>
                <w:sz w:val="20"/>
                <w:szCs w:val="20"/>
              </w:rPr>
            </w:pPr>
            <w:r w:rsidRPr="006973B5">
              <w:rPr>
                <w:rFonts w:ascii="Times New Roman" w:hAnsi="Times New Roman" w:cs="Times New Roman"/>
                <w:sz w:val="20"/>
                <w:szCs w:val="20"/>
              </w:rPr>
              <w:t>- l</w:t>
            </w:r>
            <w:r w:rsidR="00903E3E" w:rsidRPr="006973B5">
              <w:rPr>
                <w:rFonts w:ascii="Times New Roman" w:hAnsi="Times New Roman" w:cs="Times New Roman"/>
                <w:sz w:val="20"/>
                <w:szCs w:val="20"/>
              </w:rPr>
              <w:t>a labellisation des produits agricoles et l’organisation des circuits de commercialisation.</w:t>
            </w:r>
          </w:p>
        </w:tc>
      </w:tr>
      <w:tr w:rsidR="00113A9A" w:rsidRPr="006973B5" w:rsidTr="00903E3E">
        <w:trPr>
          <w:trHeight w:val="176"/>
        </w:trPr>
        <w:tc>
          <w:tcPr>
            <w:tcW w:w="2289" w:type="dxa"/>
            <w:vMerge/>
          </w:tcPr>
          <w:p w:rsidR="00113A9A" w:rsidRPr="006973B5" w:rsidRDefault="00113A9A" w:rsidP="00113A9A">
            <w:pPr>
              <w:autoSpaceDE w:val="0"/>
              <w:autoSpaceDN w:val="0"/>
              <w:adjustRightInd w:val="0"/>
              <w:spacing w:line="276" w:lineRule="auto"/>
              <w:jc w:val="both"/>
              <w:rPr>
                <w:rFonts w:ascii="Times New Roman" w:hAnsi="Times New Roman" w:cs="Times New Roman"/>
                <w:sz w:val="20"/>
                <w:szCs w:val="20"/>
              </w:rPr>
            </w:pPr>
          </w:p>
        </w:tc>
        <w:tc>
          <w:tcPr>
            <w:tcW w:w="1930" w:type="dxa"/>
          </w:tcPr>
          <w:p w:rsidR="00113A9A" w:rsidRPr="006973B5" w:rsidRDefault="00113A9A" w:rsidP="00113A9A">
            <w:pPr>
              <w:autoSpaceDE w:val="0"/>
              <w:autoSpaceDN w:val="0"/>
              <w:adjustRightInd w:val="0"/>
              <w:spacing w:line="276" w:lineRule="auto"/>
              <w:jc w:val="both"/>
              <w:rPr>
                <w:rFonts w:ascii="Times New Roman" w:hAnsi="Times New Roman" w:cs="Times New Roman"/>
                <w:sz w:val="20"/>
                <w:szCs w:val="20"/>
              </w:rPr>
            </w:pPr>
            <w:r w:rsidRPr="006973B5">
              <w:rPr>
                <w:rFonts w:ascii="Times New Roman" w:hAnsi="Times New Roman" w:cs="Times New Roman"/>
                <w:sz w:val="20"/>
                <w:szCs w:val="20"/>
              </w:rPr>
              <w:t>Filière cultures commerciales (arachide et coton)</w:t>
            </w:r>
          </w:p>
        </w:tc>
        <w:tc>
          <w:tcPr>
            <w:tcW w:w="1985" w:type="dxa"/>
          </w:tcPr>
          <w:p w:rsidR="00113A9A" w:rsidRPr="006973B5" w:rsidRDefault="00113A9A" w:rsidP="00113A9A">
            <w:pPr>
              <w:autoSpaceDE w:val="0"/>
              <w:autoSpaceDN w:val="0"/>
              <w:adjustRightInd w:val="0"/>
              <w:rPr>
                <w:rFonts w:ascii="Times New Roman" w:hAnsi="Times New Roman" w:cs="Times New Roman"/>
                <w:sz w:val="20"/>
                <w:szCs w:val="20"/>
              </w:rPr>
            </w:pPr>
            <w:r w:rsidRPr="006973B5">
              <w:rPr>
                <w:rFonts w:ascii="Times New Roman" w:hAnsi="Times New Roman" w:cs="Times New Roman"/>
                <w:sz w:val="20"/>
                <w:szCs w:val="24"/>
              </w:rPr>
              <w:t xml:space="preserve">Les cultures commerciales (arachide et coton) bénéficient de réelles potentialités agro-climatiques dans la région de Kayes. Elles sont également génératrices de plus-value </w:t>
            </w:r>
          </w:p>
          <w:p w:rsidR="00113A9A" w:rsidRPr="006973B5" w:rsidRDefault="00113A9A" w:rsidP="00113A9A">
            <w:pPr>
              <w:autoSpaceDE w:val="0"/>
              <w:autoSpaceDN w:val="0"/>
              <w:adjustRightInd w:val="0"/>
              <w:spacing w:line="276" w:lineRule="auto"/>
              <w:jc w:val="both"/>
              <w:rPr>
                <w:rFonts w:ascii="Times New Roman" w:hAnsi="Times New Roman" w:cs="Times New Roman"/>
                <w:sz w:val="20"/>
                <w:szCs w:val="20"/>
              </w:rPr>
            </w:pPr>
          </w:p>
        </w:tc>
        <w:tc>
          <w:tcPr>
            <w:tcW w:w="3543" w:type="dxa"/>
          </w:tcPr>
          <w:p w:rsidR="00113A9A" w:rsidRPr="006973B5" w:rsidRDefault="00113A9A" w:rsidP="00113A9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déficit en équipements et matériels agricoles ;</w:t>
            </w:r>
          </w:p>
          <w:p w:rsidR="00113A9A" w:rsidRPr="006973B5" w:rsidRDefault="00113A9A" w:rsidP="00113A9A">
            <w:pPr>
              <w:autoSpaceDE w:val="0"/>
              <w:autoSpaceDN w:val="0"/>
              <w:adjustRightInd w:val="0"/>
              <w:rPr>
                <w:rFonts w:ascii="Times New Roman" w:hAnsi="Times New Roman" w:cs="Times New Roman"/>
                <w:sz w:val="20"/>
                <w:szCs w:val="24"/>
              </w:rPr>
            </w:pPr>
            <w:r w:rsidRPr="006973B5">
              <w:rPr>
                <w:rFonts w:ascii="Calibri" w:hAnsi="Calibri" w:cs="Calibri"/>
                <w:sz w:val="20"/>
                <w:szCs w:val="24"/>
              </w:rPr>
              <w:t xml:space="preserve">- </w:t>
            </w:r>
            <w:r w:rsidRPr="006973B5">
              <w:rPr>
                <w:rFonts w:ascii="Times New Roman" w:hAnsi="Times New Roman" w:cs="Times New Roman"/>
                <w:sz w:val="20"/>
                <w:szCs w:val="24"/>
              </w:rPr>
              <w:t>enclavement des zones de production ;</w:t>
            </w:r>
          </w:p>
          <w:p w:rsidR="00113A9A" w:rsidRPr="006973B5" w:rsidRDefault="00113A9A" w:rsidP="00113A9A">
            <w:pPr>
              <w:autoSpaceDE w:val="0"/>
              <w:autoSpaceDN w:val="0"/>
              <w:adjustRightInd w:val="0"/>
              <w:rPr>
                <w:rFonts w:ascii="Times New Roman" w:hAnsi="Times New Roman" w:cs="Times New Roman"/>
                <w:sz w:val="20"/>
                <w:szCs w:val="24"/>
              </w:rPr>
            </w:pPr>
            <w:r w:rsidRPr="006973B5">
              <w:rPr>
                <w:rFonts w:ascii="Calibri" w:hAnsi="Calibri" w:cs="Calibri"/>
                <w:sz w:val="20"/>
                <w:szCs w:val="24"/>
              </w:rPr>
              <w:t xml:space="preserve">- </w:t>
            </w:r>
            <w:r w:rsidRPr="006973B5">
              <w:rPr>
                <w:rFonts w:ascii="Times New Roman" w:hAnsi="Times New Roman" w:cs="Times New Roman"/>
                <w:sz w:val="20"/>
                <w:szCs w:val="24"/>
              </w:rPr>
              <w:t>difficulté d’approvisionnement en semences et produits phytosanitaires ;</w:t>
            </w:r>
          </w:p>
          <w:p w:rsidR="00113A9A" w:rsidRPr="006973B5" w:rsidRDefault="00113A9A" w:rsidP="00113A9A">
            <w:pPr>
              <w:autoSpaceDE w:val="0"/>
              <w:autoSpaceDN w:val="0"/>
              <w:adjustRightInd w:val="0"/>
              <w:spacing w:line="276" w:lineRule="auto"/>
              <w:jc w:val="both"/>
              <w:rPr>
                <w:rFonts w:ascii="Times New Roman" w:hAnsi="Times New Roman" w:cs="Times New Roman"/>
                <w:sz w:val="20"/>
                <w:szCs w:val="20"/>
              </w:rPr>
            </w:pPr>
            <w:r w:rsidRPr="006973B5">
              <w:rPr>
                <w:rFonts w:ascii="Calibri" w:hAnsi="Calibri" w:cs="Calibri"/>
                <w:sz w:val="20"/>
                <w:szCs w:val="24"/>
              </w:rPr>
              <w:t xml:space="preserve">- </w:t>
            </w:r>
            <w:r w:rsidRPr="006973B5">
              <w:rPr>
                <w:rFonts w:ascii="Times New Roman" w:hAnsi="Times New Roman" w:cs="Times New Roman"/>
                <w:sz w:val="20"/>
                <w:szCs w:val="24"/>
              </w:rPr>
              <w:t>faible niveau d’organisation des acteurs du secteur</w:t>
            </w:r>
          </w:p>
        </w:tc>
        <w:tc>
          <w:tcPr>
            <w:tcW w:w="5039" w:type="dxa"/>
          </w:tcPr>
          <w:p w:rsidR="00113A9A" w:rsidRPr="006973B5" w:rsidRDefault="00113A9A" w:rsidP="00113A9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modernisation des systèmes de production ;</w:t>
            </w:r>
          </w:p>
          <w:p w:rsidR="00113A9A" w:rsidRPr="006973B5" w:rsidRDefault="00113A9A" w:rsidP="00113A9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l’amélioration de l’accès des producteurs aux intrants ;</w:t>
            </w:r>
          </w:p>
          <w:p w:rsidR="00113A9A" w:rsidRPr="006973B5" w:rsidRDefault="00113A9A" w:rsidP="00113A9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 renforcement de leurs capacités techniques et de</w:t>
            </w:r>
          </w:p>
          <w:p w:rsidR="00113A9A" w:rsidRPr="006973B5" w:rsidRDefault="00113A9A" w:rsidP="00113A9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l’organisation des acteurs de cette filière.</w:t>
            </w:r>
          </w:p>
        </w:tc>
      </w:tr>
      <w:tr w:rsidR="00113A9A" w:rsidRPr="006973B5" w:rsidTr="00903E3E">
        <w:trPr>
          <w:trHeight w:val="353"/>
        </w:trPr>
        <w:tc>
          <w:tcPr>
            <w:tcW w:w="2289" w:type="dxa"/>
          </w:tcPr>
          <w:p w:rsidR="00113A9A" w:rsidRPr="006973B5" w:rsidRDefault="00113A9A" w:rsidP="00113A9A">
            <w:pPr>
              <w:autoSpaceDE w:val="0"/>
              <w:autoSpaceDN w:val="0"/>
              <w:adjustRightInd w:val="0"/>
              <w:spacing w:line="276" w:lineRule="auto"/>
              <w:jc w:val="both"/>
              <w:rPr>
                <w:rFonts w:ascii="Times New Roman" w:hAnsi="Times New Roman" w:cs="Times New Roman"/>
                <w:sz w:val="20"/>
                <w:szCs w:val="20"/>
              </w:rPr>
            </w:pPr>
            <w:r w:rsidRPr="006973B5">
              <w:rPr>
                <w:rFonts w:ascii="Times New Roman" w:hAnsi="Times New Roman" w:cs="Times New Roman"/>
                <w:sz w:val="20"/>
                <w:szCs w:val="20"/>
              </w:rPr>
              <w:t>Elevage</w:t>
            </w:r>
          </w:p>
        </w:tc>
        <w:tc>
          <w:tcPr>
            <w:tcW w:w="1930" w:type="dxa"/>
          </w:tcPr>
          <w:p w:rsidR="00113A9A" w:rsidRPr="006973B5" w:rsidRDefault="00113A9A" w:rsidP="00113A9A">
            <w:pPr>
              <w:autoSpaceDE w:val="0"/>
              <w:autoSpaceDN w:val="0"/>
              <w:adjustRightInd w:val="0"/>
              <w:spacing w:line="276" w:lineRule="auto"/>
              <w:jc w:val="both"/>
              <w:rPr>
                <w:rFonts w:ascii="Times New Roman" w:hAnsi="Times New Roman" w:cs="Times New Roman"/>
                <w:sz w:val="20"/>
                <w:szCs w:val="20"/>
              </w:rPr>
            </w:pPr>
            <w:r w:rsidRPr="006973B5">
              <w:rPr>
                <w:rFonts w:ascii="Times New Roman" w:hAnsi="Times New Roman" w:cs="Times New Roman"/>
                <w:sz w:val="20"/>
                <w:szCs w:val="20"/>
              </w:rPr>
              <w:t>Filière bétail, viande, lait et cuir/peaux</w:t>
            </w:r>
          </w:p>
        </w:tc>
        <w:tc>
          <w:tcPr>
            <w:tcW w:w="1985" w:type="dxa"/>
          </w:tcPr>
          <w:p w:rsidR="00113A9A" w:rsidRPr="006973B5" w:rsidRDefault="00113A9A" w:rsidP="00113A9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conditions agro-climatiques et hydriques favorables - existence d’unités de collecte, de traitement et de conservation même si leur nombre est encore limité.</w:t>
            </w:r>
          </w:p>
          <w:p w:rsidR="00113A9A" w:rsidRPr="006973B5" w:rsidRDefault="00113A9A" w:rsidP="00113A9A">
            <w:pPr>
              <w:autoSpaceDE w:val="0"/>
              <w:autoSpaceDN w:val="0"/>
              <w:adjustRightInd w:val="0"/>
              <w:rPr>
                <w:rFonts w:ascii="Times New Roman" w:hAnsi="Times New Roman" w:cs="Times New Roman"/>
                <w:sz w:val="20"/>
                <w:szCs w:val="20"/>
              </w:rPr>
            </w:pPr>
            <w:r w:rsidRPr="006973B5">
              <w:rPr>
                <w:rFonts w:ascii="Times New Roman" w:hAnsi="Times New Roman" w:cs="Times New Roman"/>
                <w:sz w:val="20"/>
                <w:szCs w:val="24"/>
              </w:rPr>
              <w:t xml:space="preserve">-existence de débouchés pour la commercialisation de la production laitière </w:t>
            </w:r>
          </w:p>
        </w:tc>
        <w:tc>
          <w:tcPr>
            <w:tcW w:w="3543" w:type="dxa"/>
          </w:tcPr>
          <w:p w:rsidR="00113A9A" w:rsidRPr="006973B5" w:rsidRDefault="00113A9A" w:rsidP="00113A9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le nombre insuffisant d’unités de collecte, de stockage et de traitement du lait ; </w:t>
            </w:r>
          </w:p>
          <w:p w:rsidR="00113A9A" w:rsidRPr="006973B5" w:rsidRDefault="00113A9A" w:rsidP="00113A9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l’inexistence d’unité industrielle de transformation de lait ; </w:t>
            </w:r>
          </w:p>
          <w:p w:rsidR="00113A9A" w:rsidRPr="006973B5" w:rsidRDefault="00113A9A" w:rsidP="00113A9A">
            <w:pPr>
              <w:autoSpaceDE w:val="0"/>
              <w:autoSpaceDN w:val="0"/>
              <w:adjustRightInd w:val="0"/>
              <w:rPr>
                <w:rFonts w:ascii="Times New Roman" w:hAnsi="Times New Roman" w:cs="Times New Roman"/>
                <w:sz w:val="20"/>
                <w:szCs w:val="20"/>
              </w:rPr>
            </w:pPr>
            <w:r w:rsidRPr="006973B5">
              <w:rPr>
                <w:rFonts w:ascii="Times New Roman" w:hAnsi="Times New Roman" w:cs="Times New Roman"/>
                <w:sz w:val="20"/>
                <w:szCs w:val="24"/>
              </w:rPr>
              <w:t xml:space="preserve">- le manque d’unités industrielles de transformation animale. </w:t>
            </w:r>
          </w:p>
          <w:p w:rsidR="00113A9A" w:rsidRPr="006973B5" w:rsidRDefault="00113A9A" w:rsidP="00113A9A">
            <w:pPr>
              <w:autoSpaceDE w:val="0"/>
              <w:autoSpaceDN w:val="0"/>
              <w:adjustRightInd w:val="0"/>
              <w:spacing w:line="276" w:lineRule="auto"/>
              <w:jc w:val="both"/>
              <w:rPr>
                <w:rFonts w:ascii="Times New Roman" w:hAnsi="Times New Roman" w:cs="Times New Roman"/>
                <w:sz w:val="20"/>
                <w:szCs w:val="20"/>
              </w:rPr>
            </w:pPr>
          </w:p>
        </w:tc>
        <w:tc>
          <w:tcPr>
            <w:tcW w:w="5039" w:type="dxa"/>
          </w:tcPr>
          <w:p w:rsidR="00113A9A" w:rsidRPr="006973B5" w:rsidRDefault="00113A9A" w:rsidP="00113A9A">
            <w:pPr>
              <w:autoSpaceDE w:val="0"/>
              <w:autoSpaceDN w:val="0"/>
              <w:adjustRightInd w:val="0"/>
              <w:jc w:val="both"/>
              <w:rPr>
                <w:rFonts w:ascii="Times New Roman" w:hAnsi="Times New Roman" w:cs="Times New Roman"/>
                <w:sz w:val="20"/>
                <w:szCs w:val="24"/>
              </w:rPr>
            </w:pPr>
            <w:r w:rsidRPr="006973B5">
              <w:rPr>
                <w:rFonts w:ascii="Times New Roman" w:hAnsi="Times New Roman" w:cs="Times New Roman"/>
                <w:sz w:val="20"/>
                <w:szCs w:val="24"/>
              </w:rPr>
              <w:t>- le renforcement les capacités régionales en matière de collecte, stockage et traitement avec notamment l’augmentation des unités de collecte et des mini-laiteries ;</w:t>
            </w:r>
          </w:p>
          <w:p w:rsidR="00113A9A" w:rsidRPr="006973B5" w:rsidRDefault="00113A9A" w:rsidP="00113A9A">
            <w:pPr>
              <w:autoSpaceDE w:val="0"/>
              <w:autoSpaceDN w:val="0"/>
              <w:adjustRightInd w:val="0"/>
              <w:jc w:val="both"/>
              <w:rPr>
                <w:rFonts w:ascii="Times New Roman" w:hAnsi="Times New Roman" w:cs="Times New Roman"/>
                <w:sz w:val="20"/>
                <w:szCs w:val="24"/>
              </w:rPr>
            </w:pPr>
            <w:r w:rsidRPr="006973B5">
              <w:rPr>
                <w:rFonts w:ascii="Times New Roman" w:hAnsi="Times New Roman" w:cs="Times New Roman"/>
                <w:sz w:val="20"/>
                <w:szCs w:val="24"/>
              </w:rPr>
              <w:t xml:space="preserve"> </w:t>
            </w:r>
          </w:p>
          <w:p w:rsidR="00113A9A" w:rsidRPr="006973B5" w:rsidRDefault="00113A9A" w:rsidP="00113A9A">
            <w:pPr>
              <w:autoSpaceDE w:val="0"/>
              <w:autoSpaceDN w:val="0"/>
              <w:adjustRightInd w:val="0"/>
              <w:jc w:val="both"/>
              <w:rPr>
                <w:rFonts w:ascii="Times New Roman" w:hAnsi="Times New Roman" w:cs="Times New Roman"/>
                <w:sz w:val="20"/>
                <w:szCs w:val="24"/>
              </w:rPr>
            </w:pPr>
            <w:r w:rsidRPr="006973B5">
              <w:rPr>
                <w:rFonts w:ascii="Times New Roman" w:hAnsi="Times New Roman" w:cs="Times New Roman"/>
                <w:sz w:val="20"/>
                <w:szCs w:val="24"/>
              </w:rPr>
              <w:t>- Pour la filière bétail/viande, il s’agira de promouvoir le développement d’unités industrielles de transformation animale.</w:t>
            </w:r>
          </w:p>
        </w:tc>
      </w:tr>
      <w:tr w:rsidR="00113A9A" w:rsidRPr="006973B5" w:rsidTr="00903E3E">
        <w:trPr>
          <w:trHeight w:val="176"/>
        </w:trPr>
        <w:tc>
          <w:tcPr>
            <w:tcW w:w="2289" w:type="dxa"/>
          </w:tcPr>
          <w:p w:rsidR="00113A9A" w:rsidRPr="006973B5" w:rsidRDefault="00113A9A" w:rsidP="00113A9A">
            <w:pPr>
              <w:autoSpaceDE w:val="0"/>
              <w:autoSpaceDN w:val="0"/>
              <w:adjustRightInd w:val="0"/>
              <w:spacing w:line="276" w:lineRule="auto"/>
              <w:jc w:val="both"/>
              <w:rPr>
                <w:rFonts w:ascii="Times New Roman" w:hAnsi="Times New Roman" w:cs="Times New Roman"/>
                <w:sz w:val="20"/>
                <w:szCs w:val="20"/>
              </w:rPr>
            </w:pPr>
            <w:r w:rsidRPr="006973B5">
              <w:rPr>
                <w:rFonts w:ascii="Times New Roman" w:hAnsi="Times New Roman" w:cs="Times New Roman"/>
                <w:sz w:val="20"/>
                <w:szCs w:val="20"/>
              </w:rPr>
              <w:lastRenderedPageBreak/>
              <w:t>Exploitation forestières</w:t>
            </w:r>
          </w:p>
        </w:tc>
        <w:tc>
          <w:tcPr>
            <w:tcW w:w="1930" w:type="dxa"/>
          </w:tcPr>
          <w:p w:rsidR="00113A9A" w:rsidRPr="006973B5" w:rsidRDefault="00113A9A" w:rsidP="00113A9A">
            <w:pPr>
              <w:autoSpaceDE w:val="0"/>
              <w:autoSpaceDN w:val="0"/>
              <w:adjustRightInd w:val="0"/>
              <w:rPr>
                <w:rFonts w:ascii="Times New Roman" w:hAnsi="Times New Roman" w:cs="Times New Roman"/>
                <w:sz w:val="20"/>
                <w:szCs w:val="20"/>
              </w:rPr>
            </w:pPr>
            <w:r w:rsidRPr="006973B5">
              <w:rPr>
                <w:rFonts w:ascii="Times New Roman" w:hAnsi="Times New Roman" w:cs="Times New Roman"/>
                <w:sz w:val="20"/>
                <w:szCs w:val="20"/>
              </w:rPr>
              <w:t>Filière produits forestiers (bambou, jujubier, rônier</w:t>
            </w:r>
          </w:p>
          <w:p w:rsidR="00113A9A" w:rsidRPr="006973B5" w:rsidRDefault="00113A9A" w:rsidP="00113A9A">
            <w:pPr>
              <w:autoSpaceDE w:val="0"/>
              <w:autoSpaceDN w:val="0"/>
              <w:adjustRightInd w:val="0"/>
              <w:spacing w:line="276" w:lineRule="auto"/>
              <w:jc w:val="both"/>
              <w:rPr>
                <w:rFonts w:ascii="Times New Roman" w:hAnsi="Times New Roman" w:cs="Times New Roman"/>
                <w:sz w:val="20"/>
                <w:szCs w:val="20"/>
              </w:rPr>
            </w:pPr>
            <w:r w:rsidRPr="006973B5">
              <w:rPr>
                <w:rFonts w:ascii="Times New Roman" w:hAnsi="Times New Roman" w:cs="Times New Roman"/>
                <w:sz w:val="20"/>
                <w:szCs w:val="20"/>
              </w:rPr>
              <w:t>et gomme arabique)</w:t>
            </w:r>
          </w:p>
        </w:tc>
        <w:tc>
          <w:tcPr>
            <w:tcW w:w="1985" w:type="dxa"/>
          </w:tcPr>
          <w:p w:rsidR="00113A9A" w:rsidRPr="006973B5" w:rsidRDefault="00113A9A" w:rsidP="00113A9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Cette filière recèle d’importantes potentialités dans la région de Kayes en particulier le</w:t>
            </w:r>
            <w:r w:rsidR="00B95A7C" w:rsidRPr="006973B5">
              <w:rPr>
                <w:rFonts w:ascii="Times New Roman" w:hAnsi="Times New Roman" w:cs="Times New Roman"/>
                <w:sz w:val="20"/>
                <w:szCs w:val="24"/>
              </w:rPr>
              <w:t xml:space="preserve"> </w:t>
            </w:r>
            <w:r w:rsidRPr="006973B5">
              <w:rPr>
                <w:rFonts w:ascii="Times New Roman" w:hAnsi="Times New Roman" w:cs="Times New Roman"/>
                <w:sz w:val="20"/>
                <w:szCs w:val="24"/>
              </w:rPr>
              <w:t>bambou et la gomme arabique d’autant plus qu’elle est génératrice de plus-value avec la</w:t>
            </w:r>
            <w:r w:rsidR="00B95A7C" w:rsidRPr="006973B5">
              <w:rPr>
                <w:rFonts w:ascii="Times New Roman" w:hAnsi="Times New Roman" w:cs="Times New Roman"/>
                <w:sz w:val="20"/>
                <w:szCs w:val="24"/>
              </w:rPr>
              <w:t xml:space="preserve"> </w:t>
            </w:r>
            <w:r w:rsidRPr="006973B5">
              <w:rPr>
                <w:rFonts w:ascii="Times New Roman" w:hAnsi="Times New Roman" w:cs="Times New Roman"/>
                <w:sz w:val="20"/>
                <w:szCs w:val="24"/>
              </w:rPr>
              <w:t>présence d’un important marché pour l’écoulement de ces produits au plan local, national et</w:t>
            </w:r>
          </w:p>
          <w:p w:rsidR="00113A9A" w:rsidRPr="006973B5" w:rsidRDefault="00074A3F" w:rsidP="00113A9A">
            <w:pPr>
              <w:autoSpaceDE w:val="0"/>
              <w:autoSpaceDN w:val="0"/>
              <w:adjustRightInd w:val="0"/>
              <w:spacing w:line="276" w:lineRule="auto"/>
              <w:jc w:val="both"/>
              <w:rPr>
                <w:rFonts w:ascii="Times New Roman" w:hAnsi="Times New Roman" w:cs="Times New Roman"/>
                <w:sz w:val="20"/>
                <w:szCs w:val="20"/>
              </w:rPr>
            </w:pPr>
            <w:r w:rsidRPr="006973B5">
              <w:rPr>
                <w:rFonts w:ascii="Times New Roman" w:hAnsi="Times New Roman" w:cs="Times New Roman"/>
                <w:sz w:val="20"/>
                <w:szCs w:val="24"/>
              </w:rPr>
              <w:t>Sous régional</w:t>
            </w:r>
            <w:r w:rsidR="00113A9A" w:rsidRPr="006973B5">
              <w:rPr>
                <w:rFonts w:ascii="Times New Roman" w:hAnsi="Times New Roman" w:cs="Times New Roman"/>
                <w:sz w:val="20"/>
                <w:szCs w:val="24"/>
              </w:rPr>
              <w:t>.</w:t>
            </w:r>
          </w:p>
        </w:tc>
        <w:tc>
          <w:tcPr>
            <w:tcW w:w="3543" w:type="dxa"/>
          </w:tcPr>
          <w:p w:rsidR="00991C1D" w:rsidRPr="006973B5" w:rsidRDefault="00991C1D" w:rsidP="00991C1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-fragilité de l’écosystème, dégradation des ressources naturelles et aléas climatiques ;</w:t>
            </w:r>
          </w:p>
          <w:p w:rsidR="00991C1D" w:rsidRPr="006973B5" w:rsidRDefault="00991C1D" w:rsidP="00991C1D">
            <w:pPr>
              <w:autoSpaceDE w:val="0"/>
              <w:autoSpaceDN w:val="0"/>
              <w:adjustRightInd w:val="0"/>
              <w:rPr>
                <w:rFonts w:ascii="Times New Roman" w:hAnsi="Times New Roman" w:cs="Times New Roman"/>
                <w:sz w:val="20"/>
                <w:szCs w:val="24"/>
              </w:rPr>
            </w:pPr>
            <w:r w:rsidRPr="006973B5">
              <w:rPr>
                <w:rFonts w:ascii="Calibri" w:hAnsi="Calibri" w:cs="Calibri"/>
                <w:sz w:val="20"/>
                <w:szCs w:val="24"/>
              </w:rPr>
              <w:t xml:space="preserve">- </w:t>
            </w:r>
            <w:r w:rsidRPr="006973B5">
              <w:rPr>
                <w:rFonts w:ascii="Times New Roman" w:hAnsi="Times New Roman" w:cs="Times New Roman"/>
                <w:sz w:val="20"/>
                <w:szCs w:val="24"/>
              </w:rPr>
              <w:t>technique de saignée de la gomme arabique inappropriée et faible organisation du circuit</w:t>
            </w:r>
            <w:r w:rsidR="00785BC7" w:rsidRPr="006973B5">
              <w:rPr>
                <w:rFonts w:ascii="Times New Roman" w:hAnsi="Times New Roman" w:cs="Times New Roman"/>
                <w:sz w:val="20"/>
                <w:szCs w:val="24"/>
              </w:rPr>
              <w:t xml:space="preserve"> </w:t>
            </w:r>
            <w:r w:rsidRPr="006973B5">
              <w:rPr>
                <w:rFonts w:ascii="Times New Roman" w:hAnsi="Times New Roman" w:cs="Times New Roman"/>
                <w:sz w:val="20"/>
                <w:szCs w:val="24"/>
              </w:rPr>
              <w:t xml:space="preserve">de </w:t>
            </w:r>
            <w:r w:rsidR="00785BC7" w:rsidRPr="006973B5">
              <w:rPr>
                <w:rFonts w:ascii="Times New Roman" w:hAnsi="Times New Roman" w:cs="Times New Roman"/>
                <w:sz w:val="20"/>
                <w:szCs w:val="24"/>
              </w:rPr>
              <w:t>c</w:t>
            </w:r>
            <w:r w:rsidRPr="006973B5">
              <w:rPr>
                <w:rFonts w:ascii="Times New Roman" w:hAnsi="Times New Roman" w:cs="Times New Roman"/>
                <w:sz w:val="20"/>
                <w:szCs w:val="24"/>
              </w:rPr>
              <w:t>ommercialisation ;</w:t>
            </w:r>
          </w:p>
          <w:p w:rsidR="00991C1D" w:rsidRPr="006973B5" w:rsidRDefault="00991C1D" w:rsidP="00991C1D">
            <w:pPr>
              <w:autoSpaceDE w:val="0"/>
              <w:autoSpaceDN w:val="0"/>
              <w:adjustRightInd w:val="0"/>
              <w:rPr>
                <w:rFonts w:ascii="Times New Roman" w:hAnsi="Times New Roman" w:cs="Times New Roman"/>
                <w:sz w:val="20"/>
                <w:szCs w:val="24"/>
              </w:rPr>
            </w:pPr>
            <w:r w:rsidRPr="006973B5">
              <w:rPr>
                <w:rFonts w:ascii="Calibri" w:hAnsi="Calibri" w:cs="Calibri"/>
                <w:sz w:val="20"/>
                <w:szCs w:val="24"/>
              </w:rPr>
              <w:t xml:space="preserve">- </w:t>
            </w:r>
            <w:r w:rsidRPr="006973B5">
              <w:rPr>
                <w:rFonts w:ascii="Times New Roman" w:hAnsi="Times New Roman" w:cs="Times New Roman"/>
                <w:sz w:val="20"/>
                <w:szCs w:val="24"/>
              </w:rPr>
              <w:t>difficulté de préservation et de régénération des ressources ;</w:t>
            </w:r>
          </w:p>
          <w:p w:rsidR="00991C1D" w:rsidRPr="006973B5" w:rsidRDefault="00991C1D" w:rsidP="00991C1D">
            <w:pPr>
              <w:autoSpaceDE w:val="0"/>
              <w:autoSpaceDN w:val="0"/>
              <w:adjustRightInd w:val="0"/>
              <w:rPr>
                <w:rFonts w:ascii="Times New Roman" w:hAnsi="Times New Roman" w:cs="Times New Roman"/>
                <w:sz w:val="20"/>
                <w:szCs w:val="24"/>
              </w:rPr>
            </w:pPr>
            <w:r w:rsidRPr="006973B5">
              <w:rPr>
                <w:rFonts w:ascii="Calibri" w:hAnsi="Calibri" w:cs="Calibri"/>
                <w:sz w:val="20"/>
                <w:szCs w:val="24"/>
              </w:rPr>
              <w:t xml:space="preserve">- </w:t>
            </w:r>
            <w:r w:rsidRPr="006973B5">
              <w:rPr>
                <w:rFonts w:ascii="Times New Roman" w:hAnsi="Times New Roman" w:cs="Times New Roman"/>
                <w:sz w:val="20"/>
                <w:szCs w:val="24"/>
              </w:rPr>
              <w:t>manque d’harmonisation des prix de vente de ces produits ;</w:t>
            </w:r>
          </w:p>
          <w:p w:rsidR="00991C1D" w:rsidRPr="006973B5" w:rsidRDefault="00991C1D" w:rsidP="00991C1D">
            <w:pPr>
              <w:autoSpaceDE w:val="0"/>
              <w:autoSpaceDN w:val="0"/>
              <w:adjustRightInd w:val="0"/>
              <w:rPr>
                <w:rFonts w:ascii="Times New Roman" w:hAnsi="Times New Roman" w:cs="Times New Roman"/>
                <w:sz w:val="20"/>
                <w:szCs w:val="24"/>
              </w:rPr>
            </w:pPr>
            <w:r w:rsidRPr="006973B5">
              <w:rPr>
                <w:rFonts w:ascii="Calibri" w:hAnsi="Calibri" w:cs="Calibri"/>
                <w:sz w:val="20"/>
                <w:szCs w:val="24"/>
              </w:rPr>
              <w:t xml:space="preserve">- </w:t>
            </w:r>
            <w:r w:rsidRPr="006973B5">
              <w:rPr>
                <w:rFonts w:ascii="Times New Roman" w:hAnsi="Times New Roman" w:cs="Times New Roman"/>
                <w:sz w:val="20"/>
                <w:szCs w:val="24"/>
              </w:rPr>
              <w:t>insuffisance des unités de transformation de la production locale ;</w:t>
            </w:r>
          </w:p>
          <w:p w:rsidR="00991C1D" w:rsidRPr="006973B5" w:rsidRDefault="00991C1D" w:rsidP="00991C1D">
            <w:pPr>
              <w:autoSpaceDE w:val="0"/>
              <w:autoSpaceDN w:val="0"/>
              <w:adjustRightInd w:val="0"/>
              <w:rPr>
                <w:rFonts w:ascii="Times New Roman" w:hAnsi="Times New Roman" w:cs="Times New Roman"/>
                <w:sz w:val="20"/>
                <w:szCs w:val="24"/>
              </w:rPr>
            </w:pPr>
            <w:r w:rsidRPr="006973B5">
              <w:rPr>
                <w:rFonts w:ascii="Calibri" w:hAnsi="Calibri" w:cs="Calibri"/>
                <w:sz w:val="20"/>
                <w:szCs w:val="24"/>
              </w:rPr>
              <w:t xml:space="preserve">- </w:t>
            </w:r>
            <w:r w:rsidRPr="006973B5">
              <w:rPr>
                <w:rFonts w:ascii="Times New Roman" w:hAnsi="Times New Roman" w:cs="Times New Roman"/>
                <w:sz w:val="20"/>
                <w:szCs w:val="24"/>
              </w:rPr>
              <w:t>enclavement des zones de cueillette ;</w:t>
            </w:r>
          </w:p>
          <w:p w:rsidR="00113A9A" w:rsidRPr="006973B5" w:rsidRDefault="00991C1D" w:rsidP="00991C1D">
            <w:pPr>
              <w:autoSpaceDE w:val="0"/>
              <w:autoSpaceDN w:val="0"/>
              <w:adjustRightInd w:val="0"/>
              <w:spacing w:line="276" w:lineRule="auto"/>
              <w:jc w:val="both"/>
              <w:rPr>
                <w:rFonts w:ascii="Times New Roman" w:hAnsi="Times New Roman" w:cs="Times New Roman"/>
                <w:sz w:val="20"/>
                <w:szCs w:val="20"/>
              </w:rPr>
            </w:pPr>
            <w:r w:rsidRPr="006973B5">
              <w:rPr>
                <w:rFonts w:ascii="Calibri" w:hAnsi="Calibri" w:cs="Calibri"/>
                <w:sz w:val="20"/>
                <w:szCs w:val="24"/>
              </w:rPr>
              <w:t xml:space="preserve">- </w:t>
            </w:r>
            <w:r w:rsidRPr="006973B5">
              <w:rPr>
                <w:rFonts w:ascii="Times New Roman" w:hAnsi="Times New Roman" w:cs="Times New Roman"/>
                <w:sz w:val="20"/>
                <w:szCs w:val="24"/>
              </w:rPr>
              <w:t>faible niveau d’organisation des acteurs du secteur</w:t>
            </w:r>
          </w:p>
        </w:tc>
        <w:tc>
          <w:tcPr>
            <w:tcW w:w="5039" w:type="dxa"/>
          </w:tcPr>
          <w:p w:rsidR="00E80670" w:rsidRPr="006973B5" w:rsidRDefault="00E80670" w:rsidP="00E80670">
            <w:pPr>
              <w:autoSpaceDE w:val="0"/>
              <w:autoSpaceDN w:val="0"/>
              <w:adjustRightInd w:val="0"/>
              <w:rPr>
                <w:rFonts w:ascii="Times New Roman" w:hAnsi="Times New Roman" w:cs="Times New Roman"/>
                <w:sz w:val="20"/>
                <w:szCs w:val="24"/>
              </w:rPr>
            </w:pPr>
            <w:r w:rsidRPr="006973B5">
              <w:rPr>
                <w:rFonts w:ascii="Calibri" w:hAnsi="Calibri" w:cs="Calibri"/>
                <w:sz w:val="20"/>
                <w:szCs w:val="24"/>
              </w:rPr>
              <w:t xml:space="preserve">- </w:t>
            </w:r>
            <w:r w:rsidRPr="006973B5">
              <w:rPr>
                <w:rFonts w:ascii="Times New Roman" w:hAnsi="Times New Roman" w:cs="Times New Roman"/>
                <w:sz w:val="20"/>
                <w:szCs w:val="24"/>
              </w:rPr>
              <w:t>promotion de technique de saignée de la gomme arabique adaptée ;</w:t>
            </w:r>
          </w:p>
          <w:p w:rsidR="00E80670" w:rsidRPr="006973B5" w:rsidRDefault="00E80670" w:rsidP="00E80670">
            <w:pPr>
              <w:autoSpaceDE w:val="0"/>
              <w:autoSpaceDN w:val="0"/>
              <w:adjustRightInd w:val="0"/>
              <w:rPr>
                <w:rFonts w:ascii="Times New Roman" w:hAnsi="Times New Roman" w:cs="Times New Roman"/>
                <w:sz w:val="20"/>
                <w:szCs w:val="24"/>
              </w:rPr>
            </w:pPr>
            <w:r w:rsidRPr="006973B5">
              <w:rPr>
                <w:rFonts w:ascii="Calibri" w:hAnsi="Calibri" w:cs="Calibri"/>
                <w:sz w:val="20"/>
                <w:szCs w:val="24"/>
              </w:rPr>
              <w:t xml:space="preserve">- </w:t>
            </w:r>
            <w:r w:rsidRPr="006973B5">
              <w:rPr>
                <w:rFonts w:ascii="Times New Roman" w:hAnsi="Times New Roman" w:cs="Times New Roman"/>
                <w:sz w:val="20"/>
                <w:szCs w:val="24"/>
              </w:rPr>
              <w:t>meilleure organisation des circuits de commercialisation ;</w:t>
            </w:r>
          </w:p>
          <w:p w:rsidR="00E80670" w:rsidRPr="006973B5" w:rsidRDefault="00E80670" w:rsidP="00E80670">
            <w:pPr>
              <w:autoSpaceDE w:val="0"/>
              <w:autoSpaceDN w:val="0"/>
              <w:adjustRightInd w:val="0"/>
              <w:rPr>
                <w:rFonts w:ascii="Times New Roman" w:hAnsi="Times New Roman" w:cs="Times New Roman"/>
                <w:sz w:val="20"/>
                <w:szCs w:val="24"/>
              </w:rPr>
            </w:pPr>
            <w:r w:rsidRPr="006973B5">
              <w:rPr>
                <w:rFonts w:ascii="Calibri" w:hAnsi="Calibri" w:cs="Calibri"/>
                <w:sz w:val="20"/>
                <w:szCs w:val="24"/>
              </w:rPr>
              <w:t xml:space="preserve">- </w:t>
            </w:r>
            <w:r w:rsidRPr="006973B5">
              <w:rPr>
                <w:rFonts w:ascii="Times New Roman" w:hAnsi="Times New Roman" w:cs="Times New Roman"/>
                <w:sz w:val="20"/>
                <w:szCs w:val="24"/>
              </w:rPr>
              <w:t>harmonisation des prix de vente de ces produits ;</w:t>
            </w:r>
          </w:p>
          <w:p w:rsidR="00E80670" w:rsidRPr="006973B5" w:rsidRDefault="00E80670" w:rsidP="00E80670">
            <w:pPr>
              <w:autoSpaceDE w:val="0"/>
              <w:autoSpaceDN w:val="0"/>
              <w:adjustRightInd w:val="0"/>
              <w:rPr>
                <w:rFonts w:ascii="Times New Roman" w:hAnsi="Times New Roman" w:cs="Times New Roman"/>
                <w:sz w:val="20"/>
                <w:szCs w:val="24"/>
              </w:rPr>
            </w:pPr>
            <w:r w:rsidRPr="006973B5">
              <w:rPr>
                <w:rFonts w:ascii="Calibri" w:hAnsi="Calibri" w:cs="Calibri"/>
                <w:sz w:val="20"/>
                <w:szCs w:val="24"/>
              </w:rPr>
              <w:t xml:space="preserve">- </w:t>
            </w:r>
            <w:r w:rsidRPr="006973B5">
              <w:rPr>
                <w:rFonts w:ascii="Times New Roman" w:hAnsi="Times New Roman" w:cs="Times New Roman"/>
                <w:sz w:val="20"/>
                <w:szCs w:val="24"/>
              </w:rPr>
              <w:t>développement des unités de transformation de la production locale ;</w:t>
            </w:r>
          </w:p>
          <w:p w:rsidR="00E80670" w:rsidRPr="006973B5" w:rsidRDefault="00E80670" w:rsidP="00E80670">
            <w:pPr>
              <w:autoSpaceDE w:val="0"/>
              <w:autoSpaceDN w:val="0"/>
              <w:adjustRightInd w:val="0"/>
              <w:rPr>
                <w:rFonts w:ascii="Times New Roman" w:hAnsi="Times New Roman" w:cs="Times New Roman"/>
                <w:sz w:val="20"/>
                <w:szCs w:val="24"/>
              </w:rPr>
            </w:pPr>
            <w:r w:rsidRPr="006973B5">
              <w:rPr>
                <w:rFonts w:ascii="Calibri" w:hAnsi="Calibri" w:cs="Calibri"/>
                <w:sz w:val="20"/>
                <w:szCs w:val="24"/>
              </w:rPr>
              <w:t xml:space="preserve">- </w:t>
            </w:r>
            <w:r w:rsidRPr="006973B5">
              <w:rPr>
                <w:rFonts w:ascii="Times New Roman" w:hAnsi="Times New Roman" w:cs="Times New Roman"/>
                <w:sz w:val="20"/>
                <w:szCs w:val="24"/>
              </w:rPr>
              <w:t>désenclavement des zones de cueillette ;</w:t>
            </w:r>
          </w:p>
          <w:p w:rsidR="00113A9A" w:rsidRPr="006973B5" w:rsidRDefault="00E80670" w:rsidP="00E80670">
            <w:pPr>
              <w:autoSpaceDE w:val="0"/>
              <w:autoSpaceDN w:val="0"/>
              <w:adjustRightInd w:val="0"/>
              <w:spacing w:line="276" w:lineRule="auto"/>
              <w:jc w:val="both"/>
              <w:rPr>
                <w:rFonts w:ascii="Times New Roman" w:hAnsi="Times New Roman" w:cs="Times New Roman"/>
                <w:sz w:val="20"/>
                <w:szCs w:val="20"/>
              </w:rPr>
            </w:pPr>
            <w:r w:rsidRPr="006973B5">
              <w:rPr>
                <w:rFonts w:ascii="Calibri" w:hAnsi="Calibri" w:cs="Calibri"/>
                <w:sz w:val="20"/>
                <w:szCs w:val="24"/>
              </w:rPr>
              <w:t xml:space="preserve">- </w:t>
            </w:r>
            <w:r w:rsidRPr="006973B5">
              <w:rPr>
                <w:rFonts w:ascii="Times New Roman" w:hAnsi="Times New Roman" w:cs="Times New Roman"/>
                <w:sz w:val="20"/>
                <w:szCs w:val="24"/>
              </w:rPr>
              <w:t>renforcement de l’organisation des acteurs du secteur et de leurs capacités techniques</w:t>
            </w:r>
          </w:p>
        </w:tc>
      </w:tr>
    </w:tbl>
    <w:p w:rsidR="001D112E" w:rsidRPr="006973B5" w:rsidRDefault="00D56647" w:rsidP="00D56647">
      <w:pPr>
        <w:autoSpaceDE w:val="0"/>
        <w:autoSpaceDN w:val="0"/>
        <w:adjustRightInd w:val="0"/>
        <w:spacing w:after="0" w:line="276" w:lineRule="auto"/>
        <w:rPr>
          <w:rFonts w:ascii="Times New Roman" w:hAnsi="Times New Roman" w:cs="Times New Roman"/>
          <w:i/>
          <w:sz w:val="24"/>
          <w:szCs w:val="24"/>
        </w:rPr>
        <w:sectPr w:rsidR="001D112E" w:rsidRPr="006973B5" w:rsidSect="00C41358">
          <w:pgSz w:w="16838" w:h="11906" w:orient="landscape"/>
          <w:pgMar w:top="1134" w:right="1134" w:bottom="1134" w:left="1134" w:header="709" w:footer="709" w:gutter="0"/>
          <w:cols w:space="708"/>
          <w:docGrid w:linePitch="360"/>
        </w:sectPr>
      </w:pPr>
      <w:r w:rsidRPr="006973B5">
        <w:rPr>
          <w:rFonts w:ascii="Times New Roman" w:hAnsi="Times New Roman" w:cs="Times New Roman"/>
          <w:i/>
          <w:sz w:val="24"/>
          <w:szCs w:val="24"/>
          <w:u w:val="single"/>
        </w:rPr>
        <w:t>Source</w:t>
      </w:r>
      <w:r w:rsidRPr="006973B5">
        <w:rPr>
          <w:rFonts w:ascii="Times New Roman" w:hAnsi="Times New Roman" w:cs="Times New Roman"/>
          <w:i/>
          <w:sz w:val="24"/>
          <w:szCs w:val="24"/>
        </w:rPr>
        <w:t> : Rapport finale : étude diagnostique des  secteurs économiques porteurs et espace économique partagés dans la région de Kayes, mars 2012, Assemblée  régionale de Kayes.</w:t>
      </w:r>
    </w:p>
    <w:p w:rsidR="00C41358" w:rsidRPr="006973B5" w:rsidRDefault="00C41358" w:rsidP="00A42923">
      <w:pPr>
        <w:autoSpaceDE w:val="0"/>
        <w:autoSpaceDN w:val="0"/>
        <w:adjustRightInd w:val="0"/>
        <w:spacing w:after="0" w:line="276" w:lineRule="auto"/>
        <w:jc w:val="both"/>
        <w:rPr>
          <w:rFonts w:ascii="Times New Roman" w:hAnsi="Times New Roman" w:cs="Times New Roman"/>
          <w:sz w:val="24"/>
          <w:szCs w:val="24"/>
        </w:rPr>
      </w:pPr>
    </w:p>
    <w:p w:rsidR="00C41358" w:rsidRPr="006973B5" w:rsidRDefault="00C41358" w:rsidP="00A42923">
      <w:pPr>
        <w:autoSpaceDE w:val="0"/>
        <w:autoSpaceDN w:val="0"/>
        <w:adjustRightInd w:val="0"/>
        <w:spacing w:after="0" w:line="276" w:lineRule="auto"/>
        <w:jc w:val="both"/>
        <w:rPr>
          <w:rFonts w:ascii="Times New Roman" w:hAnsi="Times New Roman" w:cs="Times New Roman"/>
          <w:sz w:val="24"/>
          <w:szCs w:val="24"/>
        </w:rPr>
      </w:pPr>
    </w:p>
    <w:p w:rsidR="00774568" w:rsidRPr="006973B5" w:rsidRDefault="00774568" w:rsidP="00937EDF">
      <w:pPr>
        <w:pStyle w:val="Titre2"/>
        <w:numPr>
          <w:ilvl w:val="1"/>
          <w:numId w:val="14"/>
        </w:numPr>
        <w:rPr>
          <w:rFonts w:ascii="Times New Roman" w:hAnsi="Times New Roman" w:cs="Times New Roman"/>
          <w:b/>
          <w:color w:val="auto"/>
        </w:rPr>
      </w:pPr>
      <w:bookmarkStart w:id="63" w:name="_Toc516676427"/>
      <w:r w:rsidRPr="006973B5">
        <w:rPr>
          <w:rFonts w:ascii="Times New Roman" w:hAnsi="Times New Roman" w:cs="Times New Roman"/>
          <w:b/>
          <w:color w:val="auto"/>
        </w:rPr>
        <w:t>Analyse du marché local de la région de Sikasso</w:t>
      </w:r>
      <w:bookmarkEnd w:id="63"/>
      <w:r w:rsidRPr="006973B5">
        <w:rPr>
          <w:rFonts w:ascii="Times New Roman" w:hAnsi="Times New Roman" w:cs="Times New Roman"/>
          <w:b/>
          <w:color w:val="auto"/>
        </w:rPr>
        <w:t xml:space="preserve"> </w:t>
      </w:r>
    </w:p>
    <w:p w:rsidR="00C41358" w:rsidRPr="006973B5" w:rsidRDefault="00C41358" w:rsidP="00A42923">
      <w:pPr>
        <w:autoSpaceDE w:val="0"/>
        <w:autoSpaceDN w:val="0"/>
        <w:adjustRightInd w:val="0"/>
        <w:spacing w:after="0" w:line="276" w:lineRule="auto"/>
        <w:jc w:val="both"/>
        <w:rPr>
          <w:rFonts w:ascii="Times New Roman" w:hAnsi="Times New Roman" w:cs="Times New Roman"/>
          <w:sz w:val="24"/>
          <w:szCs w:val="24"/>
        </w:rPr>
      </w:pPr>
    </w:p>
    <w:p w:rsidR="001D2598" w:rsidRPr="006973B5" w:rsidRDefault="001D2598" w:rsidP="00937EDF">
      <w:pPr>
        <w:pStyle w:val="Paragraphedeliste"/>
        <w:numPr>
          <w:ilvl w:val="2"/>
          <w:numId w:val="14"/>
        </w:numPr>
        <w:autoSpaceDE w:val="0"/>
        <w:autoSpaceDN w:val="0"/>
        <w:adjustRightInd w:val="0"/>
        <w:spacing w:after="0" w:line="276" w:lineRule="auto"/>
        <w:jc w:val="both"/>
        <w:rPr>
          <w:rFonts w:ascii="Times New Roman" w:hAnsi="Times New Roman" w:cs="Times New Roman"/>
          <w:b/>
          <w:bCs/>
          <w:i/>
          <w:iCs/>
          <w:sz w:val="24"/>
          <w:szCs w:val="20"/>
        </w:rPr>
      </w:pPr>
      <w:r w:rsidRPr="006973B5">
        <w:rPr>
          <w:rFonts w:ascii="Times New Roman" w:hAnsi="Times New Roman" w:cs="Times New Roman"/>
          <w:b/>
          <w:bCs/>
          <w:i/>
          <w:iCs/>
          <w:sz w:val="24"/>
          <w:szCs w:val="20"/>
        </w:rPr>
        <w:t>Les potentialités économiques de la région de Sikasso</w:t>
      </w:r>
    </w:p>
    <w:p w:rsidR="001D2598" w:rsidRPr="006973B5" w:rsidRDefault="001D2598" w:rsidP="001D2598">
      <w:pPr>
        <w:pStyle w:val="Paragraphedeliste"/>
        <w:autoSpaceDE w:val="0"/>
        <w:autoSpaceDN w:val="0"/>
        <w:adjustRightInd w:val="0"/>
        <w:spacing w:after="0" w:line="276" w:lineRule="auto"/>
        <w:jc w:val="both"/>
        <w:rPr>
          <w:rFonts w:ascii="Times New Roman" w:hAnsi="Times New Roman" w:cs="Times New Roman"/>
          <w:b/>
          <w:bCs/>
          <w:i/>
          <w:iCs/>
          <w:sz w:val="24"/>
          <w:szCs w:val="20"/>
        </w:rPr>
      </w:pPr>
    </w:p>
    <w:p w:rsidR="00E25AAA" w:rsidRPr="006973B5" w:rsidRDefault="001D112E" w:rsidP="00C55AB8">
      <w:pPr>
        <w:autoSpaceDE w:val="0"/>
        <w:autoSpaceDN w:val="0"/>
        <w:adjustRightInd w:val="0"/>
        <w:spacing w:after="0" w:line="276" w:lineRule="auto"/>
        <w:jc w:val="both"/>
        <w:rPr>
          <w:rFonts w:ascii="Times New Roman" w:hAnsi="Times New Roman" w:cs="Times New Roman"/>
          <w:sz w:val="24"/>
          <w:szCs w:val="24"/>
        </w:rPr>
      </w:pPr>
      <w:r w:rsidRPr="006973B5">
        <w:rPr>
          <w:rFonts w:ascii="Times New Roman" w:hAnsi="Times New Roman" w:cs="Times New Roman"/>
          <w:sz w:val="24"/>
          <w:szCs w:val="24"/>
        </w:rPr>
        <w:t>La région de Sikasso se trouve dans la partie méridionale du Mali, avec une superficie de</w:t>
      </w:r>
      <w:r w:rsidR="001E1652" w:rsidRPr="006973B5">
        <w:rPr>
          <w:rFonts w:ascii="Times New Roman" w:hAnsi="Times New Roman" w:cs="Times New Roman"/>
          <w:sz w:val="24"/>
          <w:szCs w:val="24"/>
        </w:rPr>
        <w:t xml:space="preserve"> </w:t>
      </w:r>
      <w:r w:rsidRPr="006973B5">
        <w:rPr>
          <w:rFonts w:ascii="Times New Roman" w:hAnsi="Times New Roman" w:cs="Times New Roman"/>
          <w:sz w:val="24"/>
          <w:szCs w:val="24"/>
        </w:rPr>
        <w:t xml:space="preserve">71.790 km². </w:t>
      </w:r>
      <w:r w:rsidR="001E1652" w:rsidRPr="006973B5">
        <w:rPr>
          <w:rFonts w:ascii="Times New Roman" w:hAnsi="Times New Roman" w:cs="Times New Roman"/>
          <w:sz w:val="24"/>
          <w:szCs w:val="24"/>
        </w:rPr>
        <w:t>La population de la région est estimée à 3 433 902 habitants 2017, dont 529 094 jeunes âgés de 15 à 24, soit 15,4% de la population totale.</w:t>
      </w:r>
      <w:r w:rsidR="00A83352" w:rsidRPr="006973B5">
        <w:rPr>
          <w:rFonts w:ascii="Times New Roman" w:hAnsi="Times New Roman" w:cs="Times New Roman"/>
          <w:sz w:val="24"/>
          <w:szCs w:val="24"/>
        </w:rPr>
        <w:t xml:space="preserve"> La région</w:t>
      </w:r>
      <w:r w:rsidR="001E1652" w:rsidRPr="006973B5">
        <w:rPr>
          <w:rFonts w:ascii="Times New Roman" w:hAnsi="Times New Roman" w:cs="Times New Roman"/>
          <w:sz w:val="24"/>
          <w:szCs w:val="24"/>
        </w:rPr>
        <w:t xml:space="preserve"> de Sikasso bénéficie de conditions agro- écologiques favorables et de nombreuses potentialités dont la mise en valeur pourrait favoriser le développement économique régional. </w:t>
      </w:r>
      <w:r w:rsidR="00A83352" w:rsidRPr="006973B5">
        <w:rPr>
          <w:rFonts w:ascii="Times New Roman" w:hAnsi="Times New Roman" w:cs="Times New Roman"/>
          <w:sz w:val="24"/>
          <w:szCs w:val="24"/>
        </w:rPr>
        <w:t>L</w:t>
      </w:r>
      <w:r w:rsidR="001E1652" w:rsidRPr="006973B5">
        <w:rPr>
          <w:rFonts w:ascii="Times New Roman" w:hAnsi="Times New Roman" w:cs="Times New Roman"/>
          <w:sz w:val="24"/>
          <w:szCs w:val="24"/>
        </w:rPr>
        <w:t>’économie de la région s’organise autour de l’agriculture</w:t>
      </w:r>
      <w:r w:rsidR="00A71BD0" w:rsidRPr="006973B5">
        <w:rPr>
          <w:rFonts w:ascii="Times New Roman" w:hAnsi="Times New Roman" w:cs="Times New Roman"/>
          <w:sz w:val="24"/>
          <w:szCs w:val="24"/>
        </w:rPr>
        <w:t xml:space="preserve"> (cultures céréalières, arboriculture</w:t>
      </w:r>
      <w:r w:rsidR="001E1652" w:rsidRPr="006973B5">
        <w:rPr>
          <w:rFonts w:ascii="Times New Roman" w:hAnsi="Times New Roman" w:cs="Times New Roman"/>
          <w:sz w:val="24"/>
          <w:szCs w:val="24"/>
        </w:rPr>
        <w:t xml:space="preserve">, </w:t>
      </w:r>
      <w:r w:rsidR="00A71BD0" w:rsidRPr="006973B5">
        <w:rPr>
          <w:rFonts w:ascii="Times New Roman" w:hAnsi="Times New Roman" w:cs="Times New Roman"/>
          <w:sz w:val="24"/>
          <w:szCs w:val="24"/>
        </w:rPr>
        <w:t xml:space="preserve">maraîchage, oléagineux, cultures émergentes), </w:t>
      </w:r>
      <w:r w:rsidR="001E1652" w:rsidRPr="006973B5">
        <w:rPr>
          <w:rFonts w:ascii="Times New Roman" w:hAnsi="Times New Roman" w:cs="Times New Roman"/>
          <w:sz w:val="24"/>
          <w:szCs w:val="24"/>
        </w:rPr>
        <w:t>l’élevage, la pêche et l’exploitation forestière.</w:t>
      </w:r>
      <w:r w:rsidR="007D5CDB" w:rsidRPr="006973B5">
        <w:rPr>
          <w:rFonts w:ascii="Times New Roman" w:hAnsi="Times New Roman" w:cs="Times New Roman"/>
          <w:sz w:val="24"/>
          <w:szCs w:val="24"/>
        </w:rPr>
        <w:t xml:space="preserve"> L</w:t>
      </w:r>
      <w:r w:rsidR="00031865" w:rsidRPr="006973B5">
        <w:rPr>
          <w:rFonts w:ascii="Times New Roman" w:hAnsi="Times New Roman" w:cs="Times New Roman"/>
          <w:sz w:val="24"/>
          <w:szCs w:val="24"/>
        </w:rPr>
        <w:t xml:space="preserve">’analyse des </w:t>
      </w:r>
      <w:r w:rsidR="007D5CDB" w:rsidRPr="006973B5">
        <w:rPr>
          <w:rFonts w:ascii="Times New Roman" w:hAnsi="Times New Roman" w:cs="Times New Roman"/>
          <w:sz w:val="24"/>
          <w:szCs w:val="24"/>
        </w:rPr>
        <w:t>données qualitatives</w:t>
      </w:r>
      <w:r w:rsidR="00031865" w:rsidRPr="006973B5">
        <w:rPr>
          <w:rFonts w:ascii="Times New Roman" w:hAnsi="Times New Roman" w:cs="Times New Roman"/>
          <w:sz w:val="24"/>
          <w:szCs w:val="24"/>
        </w:rPr>
        <w:t xml:space="preserve"> collectées</w:t>
      </w:r>
      <w:r w:rsidR="007D5CDB" w:rsidRPr="006973B5">
        <w:rPr>
          <w:rFonts w:ascii="Times New Roman" w:hAnsi="Times New Roman" w:cs="Times New Roman"/>
          <w:sz w:val="24"/>
          <w:szCs w:val="24"/>
        </w:rPr>
        <w:t xml:space="preserve"> auprès des structures étatiques, les organisations professionnelles </w:t>
      </w:r>
      <w:r w:rsidR="00031865" w:rsidRPr="006973B5">
        <w:rPr>
          <w:rFonts w:ascii="Times New Roman" w:hAnsi="Times New Roman" w:cs="Times New Roman"/>
          <w:sz w:val="24"/>
          <w:szCs w:val="24"/>
        </w:rPr>
        <w:t>confirment</w:t>
      </w:r>
      <w:r w:rsidR="00E25AAA" w:rsidRPr="006973B5">
        <w:rPr>
          <w:rFonts w:ascii="Times New Roman" w:hAnsi="Times New Roman" w:cs="Times New Roman"/>
          <w:sz w:val="24"/>
          <w:szCs w:val="24"/>
        </w:rPr>
        <w:t xml:space="preserve"> l’existence de ces mêmes potentialités économiques</w:t>
      </w:r>
      <w:r w:rsidR="00061526" w:rsidRPr="006973B5">
        <w:rPr>
          <w:rFonts w:ascii="Times New Roman" w:hAnsi="Times New Roman" w:cs="Times New Roman"/>
          <w:sz w:val="24"/>
          <w:szCs w:val="24"/>
        </w:rPr>
        <w:t xml:space="preserve"> en plus du secteur </w:t>
      </w:r>
      <w:r w:rsidR="00BF620B" w:rsidRPr="006973B5">
        <w:rPr>
          <w:rFonts w:ascii="Times New Roman" w:hAnsi="Times New Roman" w:cs="Times New Roman"/>
          <w:sz w:val="24"/>
          <w:szCs w:val="24"/>
        </w:rPr>
        <w:t>minier,</w:t>
      </w:r>
      <w:r w:rsidR="00486BEA" w:rsidRPr="006973B5">
        <w:rPr>
          <w:rFonts w:ascii="Times New Roman" w:hAnsi="Times New Roman" w:cs="Times New Roman"/>
          <w:sz w:val="24"/>
          <w:szCs w:val="24"/>
        </w:rPr>
        <w:t xml:space="preserve"> le secteur</w:t>
      </w:r>
      <w:r w:rsidR="00061526" w:rsidRPr="006973B5">
        <w:rPr>
          <w:rFonts w:ascii="Times New Roman" w:hAnsi="Times New Roman" w:cs="Times New Roman"/>
          <w:sz w:val="24"/>
          <w:szCs w:val="24"/>
        </w:rPr>
        <w:t xml:space="preserve"> les Bâtiments et travaux publics.</w:t>
      </w:r>
    </w:p>
    <w:p w:rsidR="00E25AAA" w:rsidRPr="006973B5" w:rsidRDefault="00E25AAA" w:rsidP="00C55AB8">
      <w:pPr>
        <w:autoSpaceDE w:val="0"/>
        <w:autoSpaceDN w:val="0"/>
        <w:adjustRightInd w:val="0"/>
        <w:spacing w:after="0" w:line="276" w:lineRule="auto"/>
        <w:jc w:val="both"/>
        <w:rPr>
          <w:rFonts w:ascii="Times New Roman" w:hAnsi="Times New Roman" w:cs="Times New Roman"/>
          <w:sz w:val="24"/>
          <w:szCs w:val="24"/>
        </w:rPr>
      </w:pPr>
    </w:p>
    <w:p w:rsidR="00E25AAA" w:rsidRPr="006973B5" w:rsidRDefault="00031865" w:rsidP="00937EDF">
      <w:pPr>
        <w:pStyle w:val="Paragraphedeliste"/>
        <w:numPr>
          <w:ilvl w:val="2"/>
          <w:numId w:val="14"/>
        </w:numPr>
        <w:rPr>
          <w:rFonts w:ascii="Times New Roman" w:hAnsi="Times New Roman" w:cs="Times New Roman"/>
          <w:b/>
          <w:bCs/>
          <w:i/>
          <w:iCs/>
          <w:sz w:val="24"/>
          <w:szCs w:val="20"/>
        </w:rPr>
      </w:pPr>
      <w:r w:rsidRPr="006973B5">
        <w:rPr>
          <w:rFonts w:ascii="Times New Roman" w:hAnsi="Times New Roman" w:cs="Times New Roman"/>
          <w:sz w:val="24"/>
          <w:szCs w:val="24"/>
        </w:rPr>
        <w:t xml:space="preserve"> </w:t>
      </w:r>
      <w:r w:rsidR="00E25AAA" w:rsidRPr="006973B5">
        <w:rPr>
          <w:rFonts w:ascii="Times New Roman" w:hAnsi="Times New Roman" w:cs="Times New Roman"/>
          <w:b/>
          <w:bCs/>
          <w:i/>
          <w:iCs/>
          <w:sz w:val="24"/>
          <w:szCs w:val="20"/>
        </w:rPr>
        <w:t>Les filières porteuses de la région</w:t>
      </w:r>
    </w:p>
    <w:p w:rsidR="00246EF7" w:rsidRPr="006973B5" w:rsidRDefault="00246EF7" w:rsidP="00246EF7">
      <w:pPr>
        <w:autoSpaceDE w:val="0"/>
        <w:autoSpaceDN w:val="0"/>
        <w:adjustRightInd w:val="0"/>
        <w:spacing w:after="0" w:line="276" w:lineRule="auto"/>
        <w:rPr>
          <w:rFonts w:ascii="Times New Roman" w:hAnsi="Times New Roman" w:cs="Times New Roman"/>
          <w:sz w:val="24"/>
          <w:szCs w:val="24"/>
        </w:rPr>
      </w:pPr>
      <w:r w:rsidRPr="006973B5">
        <w:rPr>
          <w:rFonts w:ascii="Times New Roman" w:hAnsi="Times New Roman" w:cs="Times New Roman"/>
          <w:sz w:val="24"/>
          <w:szCs w:val="24"/>
        </w:rPr>
        <w:t xml:space="preserve">Le tableau ci-dessous décrit </w:t>
      </w:r>
      <w:r w:rsidR="00AD4D0A" w:rsidRPr="006973B5">
        <w:rPr>
          <w:rFonts w:ascii="Times New Roman" w:hAnsi="Times New Roman" w:cs="Times New Roman"/>
          <w:sz w:val="24"/>
          <w:szCs w:val="24"/>
        </w:rPr>
        <w:t>les filières porteuses</w:t>
      </w:r>
      <w:r w:rsidRPr="006973B5">
        <w:rPr>
          <w:rFonts w:ascii="Times New Roman" w:hAnsi="Times New Roman" w:cs="Times New Roman"/>
          <w:sz w:val="24"/>
          <w:szCs w:val="24"/>
        </w:rPr>
        <w:t xml:space="preserve"> en faisant ressortir leurs potentialités et contraintes et les actions à entreprendre en vue de leur développement.</w:t>
      </w:r>
    </w:p>
    <w:p w:rsidR="00C41358" w:rsidRPr="006973B5" w:rsidRDefault="00C41358" w:rsidP="00A42923">
      <w:pPr>
        <w:autoSpaceDE w:val="0"/>
        <w:autoSpaceDN w:val="0"/>
        <w:adjustRightInd w:val="0"/>
        <w:spacing w:after="0" w:line="276" w:lineRule="auto"/>
        <w:jc w:val="both"/>
        <w:rPr>
          <w:rFonts w:ascii="Times New Roman" w:hAnsi="Times New Roman" w:cs="Times New Roman"/>
          <w:sz w:val="24"/>
          <w:szCs w:val="24"/>
        </w:rPr>
      </w:pPr>
    </w:p>
    <w:p w:rsidR="00C41358" w:rsidRPr="006973B5" w:rsidRDefault="00C41358" w:rsidP="00A42923">
      <w:pPr>
        <w:autoSpaceDE w:val="0"/>
        <w:autoSpaceDN w:val="0"/>
        <w:adjustRightInd w:val="0"/>
        <w:spacing w:after="0" w:line="276" w:lineRule="auto"/>
        <w:jc w:val="both"/>
        <w:rPr>
          <w:rFonts w:ascii="Times New Roman" w:hAnsi="Times New Roman" w:cs="Times New Roman"/>
          <w:sz w:val="24"/>
          <w:szCs w:val="24"/>
        </w:rPr>
      </w:pPr>
    </w:p>
    <w:p w:rsidR="00C41358" w:rsidRPr="006973B5" w:rsidRDefault="00C41358" w:rsidP="00A42923">
      <w:pPr>
        <w:autoSpaceDE w:val="0"/>
        <w:autoSpaceDN w:val="0"/>
        <w:adjustRightInd w:val="0"/>
        <w:spacing w:after="0" w:line="276" w:lineRule="auto"/>
        <w:jc w:val="both"/>
        <w:rPr>
          <w:rFonts w:ascii="Times New Roman" w:hAnsi="Times New Roman" w:cs="Times New Roman"/>
          <w:sz w:val="24"/>
          <w:szCs w:val="24"/>
        </w:rPr>
      </w:pPr>
    </w:p>
    <w:p w:rsidR="00C41358" w:rsidRPr="006973B5" w:rsidRDefault="00C41358" w:rsidP="00A42923">
      <w:pPr>
        <w:autoSpaceDE w:val="0"/>
        <w:autoSpaceDN w:val="0"/>
        <w:adjustRightInd w:val="0"/>
        <w:spacing w:after="0" w:line="276" w:lineRule="auto"/>
        <w:jc w:val="both"/>
        <w:rPr>
          <w:rFonts w:ascii="Times New Roman" w:hAnsi="Times New Roman" w:cs="Times New Roman"/>
          <w:sz w:val="24"/>
          <w:szCs w:val="24"/>
        </w:rPr>
      </w:pPr>
    </w:p>
    <w:p w:rsidR="00C41358" w:rsidRPr="006973B5" w:rsidRDefault="00C41358" w:rsidP="00A42923">
      <w:pPr>
        <w:autoSpaceDE w:val="0"/>
        <w:autoSpaceDN w:val="0"/>
        <w:adjustRightInd w:val="0"/>
        <w:spacing w:after="0" w:line="276" w:lineRule="auto"/>
        <w:jc w:val="both"/>
        <w:rPr>
          <w:rFonts w:ascii="Times New Roman" w:hAnsi="Times New Roman" w:cs="Times New Roman"/>
          <w:sz w:val="24"/>
          <w:szCs w:val="24"/>
        </w:rPr>
      </w:pPr>
    </w:p>
    <w:p w:rsidR="006970C1" w:rsidRPr="006973B5" w:rsidRDefault="006970C1" w:rsidP="00A42923">
      <w:pPr>
        <w:autoSpaceDE w:val="0"/>
        <w:autoSpaceDN w:val="0"/>
        <w:adjustRightInd w:val="0"/>
        <w:spacing w:after="0" w:line="276" w:lineRule="auto"/>
        <w:jc w:val="both"/>
        <w:rPr>
          <w:rFonts w:ascii="Times New Roman" w:hAnsi="Times New Roman" w:cs="Times New Roman"/>
          <w:sz w:val="24"/>
          <w:szCs w:val="24"/>
        </w:rPr>
      </w:pPr>
    </w:p>
    <w:p w:rsidR="006970C1" w:rsidRPr="006973B5" w:rsidRDefault="006970C1" w:rsidP="00A42923">
      <w:pPr>
        <w:autoSpaceDE w:val="0"/>
        <w:autoSpaceDN w:val="0"/>
        <w:adjustRightInd w:val="0"/>
        <w:spacing w:after="0" w:line="276" w:lineRule="auto"/>
        <w:jc w:val="both"/>
        <w:rPr>
          <w:rFonts w:ascii="Times New Roman" w:hAnsi="Times New Roman" w:cs="Times New Roman"/>
          <w:sz w:val="24"/>
          <w:szCs w:val="24"/>
        </w:rPr>
      </w:pPr>
    </w:p>
    <w:p w:rsidR="006970C1" w:rsidRPr="006973B5" w:rsidRDefault="006970C1" w:rsidP="00A42923">
      <w:pPr>
        <w:autoSpaceDE w:val="0"/>
        <w:autoSpaceDN w:val="0"/>
        <w:adjustRightInd w:val="0"/>
        <w:spacing w:after="0" w:line="276" w:lineRule="auto"/>
        <w:jc w:val="both"/>
        <w:rPr>
          <w:rFonts w:ascii="Times New Roman" w:hAnsi="Times New Roman" w:cs="Times New Roman"/>
          <w:sz w:val="24"/>
          <w:szCs w:val="24"/>
        </w:rPr>
      </w:pPr>
    </w:p>
    <w:p w:rsidR="006970C1" w:rsidRPr="006973B5" w:rsidRDefault="006970C1" w:rsidP="00A42923">
      <w:pPr>
        <w:autoSpaceDE w:val="0"/>
        <w:autoSpaceDN w:val="0"/>
        <w:adjustRightInd w:val="0"/>
        <w:spacing w:after="0" w:line="276" w:lineRule="auto"/>
        <w:jc w:val="both"/>
        <w:rPr>
          <w:rFonts w:ascii="Times New Roman" w:hAnsi="Times New Roman" w:cs="Times New Roman"/>
          <w:sz w:val="24"/>
          <w:szCs w:val="24"/>
        </w:rPr>
      </w:pPr>
    </w:p>
    <w:p w:rsidR="006970C1" w:rsidRPr="006973B5" w:rsidRDefault="006970C1" w:rsidP="00A42923">
      <w:pPr>
        <w:autoSpaceDE w:val="0"/>
        <w:autoSpaceDN w:val="0"/>
        <w:adjustRightInd w:val="0"/>
        <w:spacing w:after="0" w:line="276" w:lineRule="auto"/>
        <w:jc w:val="both"/>
        <w:rPr>
          <w:rFonts w:ascii="Times New Roman" w:hAnsi="Times New Roman" w:cs="Times New Roman"/>
          <w:sz w:val="24"/>
          <w:szCs w:val="24"/>
        </w:rPr>
      </w:pPr>
    </w:p>
    <w:p w:rsidR="006970C1" w:rsidRPr="006973B5" w:rsidRDefault="006970C1" w:rsidP="00A42923">
      <w:pPr>
        <w:autoSpaceDE w:val="0"/>
        <w:autoSpaceDN w:val="0"/>
        <w:adjustRightInd w:val="0"/>
        <w:spacing w:after="0" w:line="276" w:lineRule="auto"/>
        <w:jc w:val="both"/>
        <w:rPr>
          <w:rFonts w:ascii="Times New Roman" w:hAnsi="Times New Roman" w:cs="Times New Roman"/>
          <w:sz w:val="24"/>
          <w:szCs w:val="24"/>
        </w:rPr>
      </w:pPr>
    </w:p>
    <w:p w:rsidR="006970C1" w:rsidRPr="006973B5" w:rsidRDefault="006970C1" w:rsidP="00A42923">
      <w:pPr>
        <w:autoSpaceDE w:val="0"/>
        <w:autoSpaceDN w:val="0"/>
        <w:adjustRightInd w:val="0"/>
        <w:spacing w:after="0" w:line="276" w:lineRule="auto"/>
        <w:jc w:val="both"/>
        <w:rPr>
          <w:rFonts w:ascii="Times New Roman" w:hAnsi="Times New Roman" w:cs="Times New Roman"/>
          <w:sz w:val="24"/>
          <w:szCs w:val="24"/>
        </w:rPr>
      </w:pPr>
    </w:p>
    <w:p w:rsidR="006970C1" w:rsidRPr="006973B5" w:rsidRDefault="006970C1" w:rsidP="00A42923">
      <w:pPr>
        <w:autoSpaceDE w:val="0"/>
        <w:autoSpaceDN w:val="0"/>
        <w:adjustRightInd w:val="0"/>
        <w:spacing w:after="0" w:line="276" w:lineRule="auto"/>
        <w:jc w:val="both"/>
        <w:rPr>
          <w:rFonts w:ascii="Times New Roman" w:hAnsi="Times New Roman" w:cs="Times New Roman"/>
          <w:sz w:val="24"/>
          <w:szCs w:val="24"/>
        </w:rPr>
      </w:pPr>
    </w:p>
    <w:p w:rsidR="006970C1" w:rsidRPr="006973B5" w:rsidRDefault="006970C1" w:rsidP="00A42923">
      <w:pPr>
        <w:autoSpaceDE w:val="0"/>
        <w:autoSpaceDN w:val="0"/>
        <w:adjustRightInd w:val="0"/>
        <w:spacing w:after="0" w:line="276" w:lineRule="auto"/>
        <w:jc w:val="both"/>
        <w:rPr>
          <w:rFonts w:ascii="Times New Roman" w:hAnsi="Times New Roman" w:cs="Times New Roman"/>
          <w:sz w:val="24"/>
          <w:szCs w:val="24"/>
        </w:rPr>
      </w:pPr>
    </w:p>
    <w:p w:rsidR="006970C1" w:rsidRPr="006973B5" w:rsidRDefault="006970C1" w:rsidP="00A42923">
      <w:pPr>
        <w:autoSpaceDE w:val="0"/>
        <w:autoSpaceDN w:val="0"/>
        <w:adjustRightInd w:val="0"/>
        <w:spacing w:after="0" w:line="276" w:lineRule="auto"/>
        <w:jc w:val="both"/>
        <w:rPr>
          <w:rFonts w:ascii="Times New Roman" w:hAnsi="Times New Roman" w:cs="Times New Roman"/>
          <w:sz w:val="24"/>
          <w:szCs w:val="24"/>
        </w:rPr>
      </w:pPr>
    </w:p>
    <w:p w:rsidR="006970C1" w:rsidRPr="006973B5" w:rsidRDefault="006970C1" w:rsidP="00A42923">
      <w:pPr>
        <w:autoSpaceDE w:val="0"/>
        <w:autoSpaceDN w:val="0"/>
        <w:adjustRightInd w:val="0"/>
        <w:spacing w:after="0" w:line="276" w:lineRule="auto"/>
        <w:jc w:val="both"/>
        <w:rPr>
          <w:rFonts w:ascii="Times New Roman" w:hAnsi="Times New Roman" w:cs="Times New Roman"/>
          <w:sz w:val="24"/>
          <w:szCs w:val="24"/>
        </w:rPr>
      </w:pPr>
    </w:p>
    <w:p w:rsidR="006970C1" w:rsidRPr="006973B5" w:rsidRDefault="006970C1" w:rsidP="00A42923">
      <w:pPr>
        <w:autoSpaceDE w:val="0"/>
        <w:autoSpaceDN w:val="0"/>
        <w:adjustRightInd w:val="0"/>
        <w:spacing w:after="0" w:line="276" w:lineRule="auto"/>
        <w:jc w:val="both"/>
        <w:rPr>
          <w:rFonts w:ascii="Times New Roman" w:hAnsi="Times New Roman" w:cs="Times New Roman"/>
          <w:sz w:val="24"/>
          <w:szCs w:val="24"/>
        </w:rPr>
        <w:sectPr w:rsidR="006970C1" w:rsidRPr="006973B5" w:rsidSect="001D112E">
          <w:pgSz w:w="11906" w:h="16838"/>
          <w:pgMar w:top="1134" w:right="1134" w:bottom="1134" w:left="1134" w:header="709" w:footer="709" w:gutter="0"/>
          <w:cols w:space="708"/>
          <w:docGrid w:linePitch="360"/>
        </w:sectPr>
      </w:pPr>
    </w:p>
    <w:p w:rsidR="006970C1" w:rsidRPr="006973B5" w:rsidRDefault="006970C1" w:rsidP="00A42923">
      <w:pPr>
        <w:autoSpaceDE w:val="0"/>
        <w:autoSpaceDN w:val="0"/>
        <w:adjustRightInd w:val="0"/>
        <w:spacing w:after="0" w:line="276"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2263"/>
        <w:gridCol w:w="1917"/>
        <w:gridCol w:w="1975"/>
        <w:gridCol w:w="3487"/>
        <w:gridCol w:w="4918"/>
      </w:tblGrid>
      <w:tr w:rsidR="006970C1" w:rsidRPr="006973B5" w:rsidTr="00B63674">
        <w:trPr>
          <w:trHeight w:val="176"/>
          <w:tblHeader/>
        </w:trPr>
        <w:tc>
          <w:tcPr>
            <w:tcW w:w="2289" w:type="dxa"/>
          </w:tcPr>
          <w:p w:rsidR="006970C1" w:rsidRPr="006973B5" w:rsidRDefault="006970C1" w:rsidP="0042039A">
            <w:pPr>
              <w:autoSpaceDE w:val="0"/>
              <w:autoSpaceDN w:val="0"/>
              <w:adjustRightInd w:val="0"/>
              <w:spacing w:line="276" w:lineRule="auto"/>
              <w:jc w:val="both"/>
              <w:rPr>
                <w:rFonts w:ascii="Times New Roman" w:hAnsi="Times New Roman" w:cs="Times New Roman"/>
                <w:b/>
                <w:sz w:val="28"/>
                <w:szCs w:val="28"/>
              </w:rPr>
            </w:pPr>
            <w:r w:rsidRPr="006973B5">
              <w:rPr>
                <w:rFonts w:ascii="Times New Roman" w:hAnsi="Times New Roman" w:cs="Times New Roman"/>
                <w:b/>
                <w:sz w:val="28"/>
                <w:szCs w:val="28"/>
              </w:rPr>
              <w:t>Grande famille</w:t>
            </w:r>
          </w:p>
        </w:tc>
        <w:tc>
          <w:tcPr>
            <w:tcW w:w="1930" w:type="dxa"/>
          </w:tcPr>
          <w:p w:rsidR="006970C1" w:rsidRPr="006973B5" w:rsidRDefault="006970C1" w:rsidP="0042039A">
            <w:pPr>
              <w:autoSpaceDE w:val="0"/>
              <w:autoSpaceDN w:val="0"/>
              <w:adjustRightInd w:val="0"/>
              <w:spacing w:line="276" w:lineRule="auto"/>
              <w:jc w:val="both"/>
              <w:rPr>
                <w:rFonts w:ascii="Times New Roman" w:hAnsi="Times New Roman" w:cs="Times New Roman"/>
                <w:sz w:val="28"/>
                <w:szCs w:val="28"/>
              </w:rPr>
            </w:pPr>
            <w:r w:rsidRPr="006973B5">
              <w:rPr>
                <w:rFonts w:ascii="Times New Roman" w:hAnsi="Times New Roman" w:cs="Times New Roman"/>
                <w:b/>
                <w:bCs/>
                <w:sz w:val="28"/>
                <w:szCs w:val="28"/>
              </w:rPr>
              <w:t>Principales filières</w:t>
            </w:r>
          </w:p>
        </w:tc>
        <w:tc>
          <w:tcPr>
            <w:tcW w:w="1985" w:type="dxa"/>
          </w:tcPr>
          <w:p w:rsidR="006970C1" w:rsidRPr="006973B5" w:rsidRDefault="006970C1" w:rsidP="0042039A">
            <w:pPr>
              <w:autoSpaceDE w:val="0"/>
              <w:autoSpaceDN w:val="0"/>
              <w:adjustRightInd w:val="0"/>
              <w:spacing w:line="276" w:lineRule="auto"/>
              <w:jc w:val="both"/>
              <w:rPr>
                <w:rFonts w:ascii="Times New Roman" w:hAnsi="Times New Roman" w:cs="Times New Roman"/>
                <w:sz w:val="28"/>
                <w:szCs w:val="28"/>
              </w:rPr>
            </w:pPr>
            <w:r w:rsidRPr="006973B5">
              <w:rPr>
                <w:rFonts w:ascii="Times New Roman" w:hAnsi="Times New Roman" w:cs="Times New Roman"/>
                <w:b/>
                <w:bCs/>
                <w:sz w:val="28"/>
                <w:szCs w:val="28"/>
              </w:rPr>
              <w:t xml:space="preserve">Potentialités </w:t>
            </w:r>
          </w:p>
        </w:tc>
        <w:tc>
          <w:tcPr>
            <w:tcW w:w="3543" w:type="dxa"/>
          </w:tcPr>
          <w:p w:rsidR="006970C1" w:rsidRPr="006973B5" w:rsidRDefault="006970C1" w:rsidP="0042039A">
            <w:pPr>
              <w:autoSpaceDE w:val="0"/>
              <w:autoSpaceDN w:val="0"/>
              <w:adjustRightInd w:val="0"/>
              <w:spacing w:line="276" w:lineRule="auto"/>
              <w:jc w:val="both"/>
              <w:rPr>
                <w:rFonts w:ascii="Times New Roman" w:hAnsi="Times New Roman" w:cs="Times New Roman"/>
                <w:b/>
                <w:bCs/>
                <w:sz w:val="28"/>
                <w:szCs w:val="28"/>
              </w:rPr>
            </w:pPr>
            <w:r w:rsidRPr="006973B5">
              <w:rPr>
                <w:rFonts w:ascii="Times New Roman" w:hAnsi="Times New Roman" w:cs="Times New Roman"/>
                <w:b/>
                <w:bCs/>
                <w:sz w:val="28"/>
                <w:szCs w:val="28"/>
              </w:rPr>
              <w:t>Contraintes</w:t>
            </w:r>
          </w:p>
        </w:tc>
        <w:tc>
          <w:tcPr>
            <w:tcW w:w="5039" w:type="dxa"/>
          </w:tcPr>
          <w:p w:rsidR="006970C1" w:rsidRPr="006973B5" w:rsidRDefault="006970C1" w:rsidP="0042039A">
            <w:pPr>
              <w:autoSpaceDE w:val="0"/>
              <w:autoSpaceDN w:val="0"/>
              <w:adjustRightInd w:val="0"/>
              <w:spacing w:line="276" w:lineRule="auto"/>
              <w:jc w:val="both"/>
              <w:rPr>
                <w:rFonts w:ascii="Times New Roman" w:hAnsi="Times New Roman" w:cs="Times New Roman"/>
                <w:sz w:val="28"/>
                <w:szCs w:val="28"/>
              </w:rPr>
            </w:pPr>
            <w:r w:rsidRPr="006973B5">
              <w:rPr>
                <w:rFonts w:ascii="Times New Roman" w:hAnsi="Times New Roman" w:cs="Times New Roman"/>
                <w:b/>
                <w:bCs/>
                <w:sz w:val="28"/>
                <w:szCs w:val="28"/>
              </w:rPr>
              <w:t>Actions devant être entreprises pour créer des emplois et développer la filière</w:t>
            </w:r>
          </w:p>
        </w:tc>
      </w:tr>
      <w:tr w:rsidR="00082559" w:rsidRPr="006973B5" w:rsidTr="00B63674">
        <w:trPr>
          <w:trHeight w:val="176"/>
        </w:trPr>
        <w:tc>
          <w:tcPr>
            <w:tcW w:w="2289" w:type="dxa"/>
            <w:vMerge w:val="restart"/>
          </w:tcPr>
          <w:p w:rsidR="00082559" w:rsidRPr="006973B5" w:rsidRDefault="00082559" w:rsidP="00082559">
            <w:pPr>
              <w:autoSpaceDE w:val="0"/>
              <w:autoSpaceDN w:val="0"/>
              <w:adjustRightInd w:val="0"/>
              <w:rPr>
                <w:rFonts w:ascii="Times New Roman" w:hAnsi="Times New Roman" w:cs="Times New Roman"/>
                <w:b/>
                <w:bCs/>
              </w:rPr>
            </w:pPr>
            <w:r w:rsidRPr="006973B5">
              <w:rPr>
                <w:rFonts w:ascii="Times New Roman" w:hAnsi="Times New Roman" w:cs="Times New Roman"/>
                <w:b/>
                <w:bCs/>
              </w:rPr>
              <w:t>Arboriculture fruitière et</w:t>
            </w:r>
          </w:p>
          <w:p w:rsidR="00082559" w:rsidRPr="006973B5" w:rsidRDefault="00082559" w:rsidP="00082559">
            <w:pPr>
              <w:autoSpaceDE w:val="0"/>
              <w:autoSpaceDN w:val="0"/>
              <w:adjustRightInd w:val="0"/>
              <w:spacing w:line="276" w:lineRule="auto"/>
              <w:jc w:val="both"/>
              <w:rPr>
                <w:rFonts w:ascii="Times New Roman" w:hAnsi="Times New Roman" w:cs="Times New Roman"/>
                <w:b/>
                <w:sz w:val="28"/>
                <w:szCs w:val="28"/>
              </w:rPr>
            </w:pPr>
            <w:r w:rsidRPr="006973B5">
              <w:rPr>
                <w:rFonts w:ascii="Times New Roman" w:hAnsi="Times New Roman" w:cs="Times New Roman"/>
                <w:b/>
                <w:bCs/>
              </w:rPr>
              <w:t>produits de cueillette</w:t>
            </w:r>
          </w:p>
        </w:tc>
        <w:tc>
          <w:tcPr>
            <w:tcW w:w="1930" w:type="dxa"/>
          </w:tcPr>
          <w:p w:rsidR="00082559" w:rsidRPr="006973B5" w:rsidRDefault="00082559" w:rsidP="0042039A">
            <w:pPr>
              <w:autoSpaceDE w:val="0"/>
              <w:autoSpaceDN w:val="0"/>
              <w:adjustRightInd w:val="0"/>
              <w:spacing w:line="276" w:lineRule="auto"/>
              <w:jc w:val="both"/>
              <w:rPr>
                <w:rFonts w:ascii="Times New Roman" w:hAnsi="Times New Roman" w:cs="Times New Roman"/>
                <w:b/>
                <w:bCs/>
                <w:sz w:val="28"/>
                <w:szCs w:val="28"/>
              </w:rPr>
            </w:pPr>
            <w:r w:rsidRPr="006973B5">
              <w:rPr>
                <w:rFonts w:ascii="Times New Roman" w:hAnsi="Times New Roman" w:cs="Times New Roman"/>
              </w:rPr>
              <w:t>Filière mangue</w:t>
            </w:r>
            <w:r w:rsidR="00B93D26" w:rsidRPr="006973B5">
              <w:rPr>
                <w:rFonts w:ascii="Times New Roman" w:hAnsi="Times New Roman" w:cs="Times New Roman"/>
              </w:rPr>
              <w:t xml:space="preserve"> (production)</w:t>
            </w:r>
          </w:p>
        </w:tc>
        <w:tc>
          <w:tcPr>
            <w:tcW w:w="1985" w:type="dxa"/>
          </w:tcPr>
          <w:p w:rsidR="00B93D26" w:rsidRPr="006973B5" w:rsidRDefault="00B93D26" w:rsidP="00B93D26">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conditions naturelles favorables ;</w:t>
            </w:r>
          </w:p>
          <w:p w:rsidR="00B93D26" w:rsidRPr="006973B5" w:rsidRDefault="00B93D26" w:rsidP="00B93D26">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une importante production ;</w:t>
            </w:r>
          </w:p>
          <w:p w:rsidR="00B93D26" w:rsidRPr="006973B5" w:rsidRDefault="00B93D26" w:rsidP="00B93D26">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disponibilité de résultats de recherche probants sur le plan variétal ;</w:t>
            </w:r>
          </w:p>
          <w:p w:rsidR="00082559" w:rsidRPr="006973B5" w:rsidRDefault="00B93D26" w:rsidP="00B93D26">
            <w:pPr>
              <w:autoSpaceDE w:val="0"/>
              <w:autoSpaceDN w:val="0"/>
              <w:adjustRightInd w:val="0"/>
              <w:spacing w:line="276" w:lineRule="auto"/>
              <w:rPr>
                <w:rFonts w:ascii="Times New Roman" w:hAnsi="Times New Roman" w:cs="Times New Roman"/>
                <w:b/>
                <w:bCs/>
                <w:sz w:val="20"/>
                <w:szCs w:val="28"/>
              </w:rPr>
            </w:pPr>
            <w:r w:rsidRPr="006973B5">
              <w:rPr>
                <w:rFonts w:ascii="Times New Roman" w:hAnsi="Times New Roman" w:cs="Times New Roman"/>
                <w:sz w:val="20"/>
                <w:szCs w:val="24"/>
              </w:rPr>
              <w:t>- l’existence d’un important marché au plan local, national, sous régional et international.</w:t>
            </w:r>
          </w:p>
        </w:tc>
        <w:tc>
          <w:tcPr>
            <w:tcW w:w="3543" w:type="dxa"/>
          </w:tcPr>
          <w:p w:rsidR="005E16E3" w:rsidRPr="006973B5" w:rsidRDefault="005E16E3" w:rsidP="005E16E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dispersion et la petite taille des vergers ;</w:t>
            </w:r>
          </w:p>
          <w:p w:rsidR="005E16E3" w:rsidRPr="006973B5" w:rsidRDefault="005E16E3" w:rsidP="005E16E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l’insuffisante maîtrise de la production ;</w:t>
            </w:r>
          </w:p>
          <w:p w:rsidR="00082559" w:rsidRPr="006973B5" w:rsidRDefault="005E16E3" w:rsidP="005E16E3">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 les difficultés d’accès des producteurs au crédit ;</w:t>
            </w:r>
          </w:p>
          <w:p w:rsidR="005E16E3" w:rsidRPr="006973B5" w:rsidRDefault="006A6583" w:rsidP="005E16E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w:t>
            </w:r>
            <w:r w:rsidR="005E16E3" w:rsidRPr="006973B5">
              <w:rPr>
                <w:rFonts w:ascii="Times New Roman" w:hAnsi="Times New Roman" w:cs="Times New Roman"/>
                <w:sz w:val="20"/>
                <w:szCs w:val="24"/>
              </w:rPr>
              <w:t>la prolifération de la mouche des fruits ;</w:t>
            </w:r>
          </w:p>
          <w:p w:rsidR="005E16E3" w:rsidRPr="006973B5" w:rsidRDefault="005E16E3" w:rsidP="005E16E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l’insuffisance d’équipements appropriés et les difficultés d’approvisionnement en</w:t>
            </w:r>
          </w:p>
          <w:p w:rsidR="006A6583" w:rsidRPr="006973B5" w:rsidRDefault="005E16E3" w:rsidP="006A6583">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emballages adaptés.</w:t>
            </w:r>
            <w:r w:rsidR="006A6583" w:rsidRPr="006973B5">
              <w:rPr>
                <w:rFonts w:ascii="Times New Roman" w:hAnsi="Times New Roman" w:cs="Times New Roman"/>
                <w:sz w:val="20"/>
                <w:szCs w:val="24"/>
              </w:rPr>
              <w:t xml:space="preserve"> </w:t>
            </w:r>
          </w:p>
        </w:tc>
        <w:tc>
          <w:tcPr>
            <w:tcW w:w="5039" w:type="dxa"/>
          </w:tcPr>
          <w:p w:rsidR="006A6583" w:rsidRPr="006973B5" w:rsidRDefault="006A6583" w:rsidP="006A658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développer les techniques culturales ;</w:t>
            </w:r>
          </w:p>
          <w:p w:rsidR="006A6583" w:rsidRPr="006973B5" w:rsidRDefault="006A6583" w:rsidP="006A658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introduire des méthodes de lutte intégrée contre les parasites ;</w:t>
            </w:r>
          </w:p>
          <w:p w:rsidR="006A6583" w:rsidRPr="006973B5" w:rsidRDefault="006A6583" w:rsidP="006A658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promouvoir le sur-greffage pour la diffusion des variétés exportables ;</w:t>
            </w:r>
          </w:p>
          <w:p w:rsidR="006A6583" w:rsidRPr="006973B5" w:rsidRDefault="006A6583" w:rsidP="006A6583">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 vulgariser de meilleures techniques d’entretien des vergers</w:t>
            </w:r>
          </w:p>
        </w:tc>
      </w:tr>
      <w:tr w:rsidR="00082559" w:rsidRPr="006973B5" w:rsidTr="00B63674">
        <w:trPr>
          <w:trHeight w:val="176"/>
        </w:trPr>
        <w:tc>
          <w:tcPr>
            <w:tcW w:w="2289" w:type="dxa"/>
            <w:vMerge/>
          </w:tcPr>
          <w:p w:rsidR="00082559" w:rsidRPr="006973B5" w:rsidRDefault="00082559" w:rsidP="0042039A">
            <w:pPr>
              <w:autoSpaceDE w:val="0"/>
              <w:autoSpaceDN w:val="0"/>
              <w:adjustRightInd w:val="0"/>
              <w:spacing w:line="276" w:lineRule="auto"/>
              <w:jc w:val="both"/>
              <w:rPr>
                <w:rFonts w:ascii="Times New Roman" w:hAnsi="Times New Roman" w:cs="Times New Roman"/>
                <w:b/>
                <w:sz w:val="28"/>
                <w:szCs w:val="28"/>
              </w:rPr>
            </w:pPr>
          </w:p>
        </w:tc>
        <w:tc>
          <w:tcPr>
            <w:tcW w:w="1930" w:type="dxa"/>
          </w:tcPr>
          <w:p w:rsidR="00082559" w:rsidRPr="006973B5" w:rsidRDefault="00082559" w:rsidP="0042039A">
            <w:pPr>
              <w:autoSpaceDE w:val="0"/>
              <w:autoSpaceDN w:val="0"/>
              <w:adjustRightInd w:val="0"/>
              <w:spacing w:line="276" w:lineRule="auto"/>
              <w:jc w:val="both"/>
              <w:rPr>
                <w:rFonts w:ascii="Times New Roman" w:hAnsi="Times New Roman" w:cs="Times New Roman"/>
                <w:b/>
                <w:bCs/>
                <w:sz w:val="28"/>
                <w:szCs w:val="28"/>
              </w:rPr>
            </w:pPr>
            <w:r w:rsidRPr="006973B5">
              <w:rPr>
                <w:rFonts w:ascii="Times New Roman" w:hAnsi="Times New Roman" w:cs="Times New Roman"/>
              </w:rPr>
              <w:t>Filière karité</w:t>
            </w:r>
          </w:p>
        </w:tc>
        <w:tc>
          <w:tcPr>
            <w:tcW w:w="1985" w:type="dxa"/>
          </w:tcPr>
          <w:p w:rsidR="005E16E3" w:rsidRPr="006973B5" w:rsidRDefault="005E16E3" w:rsidP="005E16E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Le karité bénéficie de conditions naturelles favorables dans la région de Sikasso qui est une zone forestière par excellence dans laquelle l’exploitation forestière et des produits de </w:t>
            </w:r>
          </w:p>
          <w:p w:rsidR="00082559" w:rsidRPr="006973B5" w:rsidRDefault="005E16E3" w:rsidP="005E16E3">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cueillette constituent un levier de développement économique</w:t>
            </w:r>
          </w:p>
        </w:tc>
        <w:tc>
          <w:tcPr>
            <w:tcW w:w="3543" w:type="dxa"/>
          </w:tcPr>
          <w:p w:rsidR="00486BEA" w:rsidRPr="006973B5" w:rsidRDefault="00486BEA" w:rsidP="00486BE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l’insuffisante vulgarisation des résultats de la recherche ;</w:t>
            </w:r>
          </w:p>
          <w:p w:rsidR="00486BEA" w:rsidRPr="006973B5" w:rsidRDefault="00486BEA" w:rsidP="00486BE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mauvaise organisation des activités de ramassage des fruits ;</w:t>
            </w:r>
          </w:p>
          <w:p w:rsidR="00486BEA" w:rsidRPr="006973B5" w:rsidRDefault="00486BEA" w:rsidP="00486BE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des méthodes de tockage/conservation des noix et amandes inadaptées ;</w:t>
            </w:r>
          </w:p>
          <w:p w:rsidR="00082559" w:rsidRPr="006973B5" w:rsidRDefault="00486BEA" w:rsidP="00486BEA">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 un faible niveau de transformation industrielle de l’amande de karité.</w:t>
            </w:r>
          </w:p>
        </w:tc>
        <w:tc>
          <w:tcPr>
            <w:tcW w:w="5039" w:type="dxa"/>
          </w:tcPr>
          <w:p w:rsidR="00486BEA" w:rsidRPr="006973B5" w:rsidRDefault="00486BEA" w:rsidP="00486BE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améliorer les méthodes de stockage et de conservation des noix et amandes ;</w:t>
            </w:r>
          </w:p>
          <w:p w:rsidR="00486BEA" w:rsidRPr="006973B5" w:rsidRDefault="00486BEA" w:rsidP="00486BE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améliorer la technologie de production de beurre de karité ;</w:t>
            </w:r>
          </w:p>
          <w:p w:rsidR="00082559" w:rsidRPr="006973B5" w:rsidRDefault="00486BEA" w:rsidP="00486BEA">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 intensifier les activités de ramassage des amandes</w:t>
            </w:r>
          </w:p>
        </w:tc>
      </w:tr>
      <w:tr w:rsidR="00486BEA" w:rsidRPr="006973B5" w:rsidTr="00B63674">
        <w:trPr>
          <w:trHeight w:val="176"/>
        </w:trPr>
        <w:tc>
          <w:tcPr>
            <w:tcW w:w="2289" w:type="dxa"/>
          </w:tcPr>
          <w:p w:rsidR="00486BEA" w:rsidRPr="006973B5" w:rsidRDefault="00486BEA" w:rsidP="00486BEA">
            <w:pPr>
              <w:autoSpaceDE w:val="0"/>
              <w:autoSpaceDN w:val="0"/>
              <w:adjustRightInd w:val="0"/>
              <w:spacing w:line="276" w:lineRule="auto"/>
              <w:jc w:val="both"/>
              <w:rPr>
                <w:rFonts w:ascii="Times New Roman" w:hAnsi="Times New Roman" w:cs="Times New Roman"/>
                <w:b/>
                <w:sz w:val="28"/>
                <w:szCs w:val="28"/>
              </w:rPr>
            </w:pPr>
            <w:r w:rsidRPr="006973B5">
              <w:rPr>
                <w:rFonts w:ascii="Times New Roman" w:hAnsi="Times New Roman" w:cs="Times New Roman"/>
                <w:b/>
                <w:bCs/>
              </w:rPr>
              <w:t>Maraîchage</w:t>
            </w:r>
          </w:p>
        </w:tc>
        <w:tc>
          <w:tcPr>
            <w:tcW w:w="1930" w:type="dxa"/>
          </w:tcPr>
          <w:p w:rsidR="00486BEA" w:rsidRPr="006973B5" w:rsidRDefault="00486BEA" w:rsidP="00486BEA">
            <w:pPr>
              <w:autoSpaceDE w:val="0"/>
              <w:autoSpaceDN w:val="0"/>
              <w:adjustRightInd w:val="0"/>
              <w:spacing w:line="276" w:lineRule="auto"/>
              <w:jc w:val="both"/>
              <w:rPr>
                <w:rFonts w:ascii="Times New Roman" w:hAnsi="Times New Roman" w:cs="Times New Roman"/>
                <w:b/>
                <w:bCs/>
                <w:sz w:val="28"/>
                <w:szCs w:val="28"/>
              </w:rPr>
            </w:pPr>
            <w:r w:rsidRPr="006973B5">
              <w:rPr>
                <w:rFonts w:ascii="Times New Roman" w:hAnsi="Times New Roman" w:cs="Times New Roman"/>
              </w:rPr>
              <w:t>Filière pomme de terre</w:t>
            </w:r>
          </w:p>
        </w:tc>
        <w:tc>
          <w:tcPr>
            <w:tcW w:w="1985" w:type="dxa"/>
          </w:tcPr>
          <w:p w:rsidR="00486BEA" w:rsidRPr="006973B5" w:rsidRDefault="00486BEA" w:rsidP="00486BE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disponibilité de terres surtout pour la culture en contre-saison ;</w:t>
            </w:r>
          </w:p>
          <w:p w:rsidR="00486BEA" w:rsidRPr="006973B5" w:rsidRDefault="00486BEA" w:rsidP="00486BE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la présence d’un marché local, </w:t>
            </w:r>
            <w:r w:rsidRPr="006973B5">
              <w:rPr>
                <w:rFonts w:ascii="Times New Roman" w:hAnsi="Times New Roman" w:cs="Times New Roman"/>
                <w:sz w:val="20"/>
                <w:szCs w:val="24"/>
              </w:rPr>
              <w:lastRenderedPageBreak/>
              <w:t>national et sous régional (Côte d’Ivoire, Sénégal et Mauritanie).</w:t>
            </w:r>
          </w:p>
        </w:tc>
        <w:tc>
          <w:tcPr>
            <w:tcW w:w="3543" w:type="dxa"/>
          </w:tcPr>
          <w:p w:rsidR="00486BEA" w:rsidRPr="006973B5" w:rsidRDefault="00486BEA" w:rsidP="00486BE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le coût élevé des intrants (semences et engrais) ;</w:t>
            </w:r>
          </w:p>
          <w:p w:rsidR="00486BEA" w:rsidRPr="006973B5" w:rsidRDefault="00486BEA" w:rsidP="00486BE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les difficultés d’approvisionnement en intrants ;</w:t>
            </w:r>
          </w:p>
          <w:p w:rsidR="00486BEA" w:rsidRPr="006973B5" w:rsidRDefault="00486BEA" w:rsidP="00486BE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 problème de stockage et de conditionnement des semences ;</w:t>
            </w:r>
          </w:p>
          <w:p w:rsidR="00486BEA" w:rsidRPr="006973B5" w:rsidRDefault="00486BEA" w:rsidP="00486BE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 l’absence d’un encadrement spécialisé en matière de production de pommes de terre ;</w:t>
            </w:r>
          </w:p>
          <w:p w:rsidR="00486BEA" w:rsidRPr="006973B5" w:rsidRDefault="00486BEA" w:rsidP="00486BE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l’insuffisance d’infrastructures de stockage appropriées ;</w:t>
            </w:r>
          </w:p>
          <w:p w:rsidR="00486BEA" w:rsidRPr="006973B5" w:rsidRDefault="00486BEA" w:rsidP="00486BE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les difficultés de transformation des produits ;</w:t>
            </w:r>
          </w:p>
          <w:p w:rsidR="00486BEA" w:rsidRPr="006973B5" w:rsidRDefault="00486BEA" w:rsidP="00486BE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faible maîtrise des techniques de récolte, stockage et conservation par les producteurs</w:t>
            </w:r>
          </w:p>
        </w:tc>
        <w:tc>
          <w:tcPr>
            <w:tcW w:w="5039" w:type="dxa"/>
          </w:tcPr>
          <w:p w:rsidR="00486BEA" w:rsidRPr="006973B5" w:rsidRDefault="00486BEA" w:rsidP="00486BE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 améliorer la production et la disponibilité de la pomme de terre pendant toute l’année ;</w:t>
            </w:r>
          </w:p>
          <w:p w:rsidR="00486BEA" w:rsidRPr="006973B5" w:rsidRDefault="00486BEA" w:rsidP="00486BE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former les producteurs en techniques améliorées de production ;</w:t>
            </w:r>
          </w:p>
          <w:p w:rsidR="00486BEA" w:rsidRPr="006973B5" w:rsidRDefault="00486BEA" w:rsidP="00486BE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promouvoir une meilleure organisation des producteurs ;</w:t>
            </w:r>
          </w:p>
          <w:p w:rsidR="00486BEA" w:rsidRPr="006973B5" w:rsidRDefault="00486BEA" w:rsidP="00486BE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 poursuivre la vulgarisation de systèmes de stockage adaptés ;</w:t>
            </w:r>
          </w:p>
          <w:p w:rsidR="00486BEA" w:rsidRPr="006973B5" w:rsidRDefault="00486BEA" w:rsidP="00486BE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mettre en place d’unités de transformation semi industrielle de pommes de terre.</w:t>
            </w:r>
          </w:p>
        </w:tc>
      </w:tr>
      <w:tr w:rsidR="00082559" w:rsidRPr="006973B5" w:rsidTr="00B63674">
        <w:trPr>
          <w:trHeight w:val="176"/>
        </w:trPr>
        <w:tc>
          <w:tcPr>
            <w:tcW w:w="2289" w:type="dxa"/>
            <w:vMerge w:val="restart"/>
          </w:tcPr>
          <w:p w:rsidR="00082559" w:rsidRPr="006973B5" w:rsidRDefault="00082559" w:rsidP="0042039A">
            <w:pPr>
              <w:autoSpaceDE w:val="0"/>
              <w:autoSpaceDN w:val="0"/>
              <w:adjustRightInd w:val="0"/>
              <w:spacing w:line="276" w:lineRule="auto"/>
              <w:jc w:val="both"/>
              <w:rPr>
                <w:rFonts w:ascii="Times New Roman" w:hAnsi="Times New Roman" w:cs="Times New Roman"/>
                <w:b/>
                <w:sz w:val="28"/>
                <w:szCs w:val="28"/>
              </w:rPr>
            </w:pPr>
            <w:r w:rsidRPr="006973B5">
              <w:rPr>
                <w:rFonts w:ascii="Times New Roman" w:hAnsi="Times New Roman" w:cs="Times New Roman"/>
                <w:b/>
                <w:bCs/>
              </w:rPr>
              <w:lastRenderedPageBreak/>
              <w:t>Agriculture</w:t>
            </w:r>
          </w:p>
        </w:tc>
        <w:tc>
          <w:tcPr>
            <w:tcW w:w="1930" w:type="dxa"/>
          </w:tcPr>
          <w:p w:rsidR="00082559" w:rsidRPr="006973B5" w:rsidRDefault="00082559" w:rsidP="0042039A">
            <w:pPr>
              <w:autoSpaceDE w:val="0"/>
              <w:autoSpaceDN w:val="0"/>
              <w:adjustRightInd w:val="0"/>
              <w:spacing w:line="276" w:lineRule="auto"/>
              <w:jc w:val="both"/>
              <w:rPr>
                <w:rFonts w:ascii="Times New Roman" w:hAnsi="Times New Roman" w:cs="Times New Roman"/>
                <w:b/>
                <w:bCs/>
                <w:sz w:val="28"/>
                <w:szCs w:val="28"/>
              </w:rPr>
            </w:pPr>
            <w:r w:rsidRPr="006973B5">
              <w:rPr>
                <w:rFonts w:ascii="Times New Roman" w:hAnsi="Times New Roman" w:cs="Times New Roman"/>
              </w:rPr>
              <w:t>Filière céréales sèches</w:t>
            </w:r>
          </w:p>
        </w:tc>
        <w:tc>
          <w:tcPr>
            <w:tcW w:w="1985" w:type="dxa"/>
          </w:tcPr>
          <w:p w:rsidR="00BF620B" w:rsidRPr="006973B5" w:rsidRDefault="00BF620B" w:rsidP="00BF620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La région de Sikasso est caractérisée par une bonne pluviométrie et une végétation abondante.</w:t>
            </w:r>
          </w:p>
          <w:p w:rsidR="00082559" w:rsidRPr="006973B5" w:rsidRDefault="00BF620B" w:rsidP="00BF620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Elle dispose de plaines et bas-fonds aménageables et plus de 6.000.000 d’ha de terres favorables à l’agriculture.</w:t>
            </w:r>
          </w:p>
        </w:tc>
        <w:tc>
          <w:tcPr>
            <w:tcW w:w="3543" w:type="dxa"/>
          </w:tcPr>
          <w:p w:rsidR="00BF620B" w:rsidRPr="006973B5" w:rsidRDefault="00BF620B" w:rsidP="00BF620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Cependant, le maïs souffre de l’instabilité de débouchés et de l’absence quasi systématique de soutien à tous les niveaux. Toutefois, cette filière bénéficie de nos jours d’une attention</w:t>
            </w:r>
          </w:p>
          <w:p w:rsidR="00BF620B" w:rsidRPr="006973B5" w:rsidRDefault="00BF620B" w:rsidP="00BF620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particulière de la part des producteurs de la région de Sikasso dans la perspective de la diversification des sources de revenus des paysans surtout au niveau des exploitations</w:t>
            </w:r>
          </w:p>
          <w:p w:rsidR="00082559" w:rsidRPr="006973B5" w:rsidRDefault="00BF620B" w:rsidP="00BF620B">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familiales.</w:t>
            </w:r>
          </w:p>
        </w:tc>
        <w:tc>
          <w:tcPr>
            <w:tcW w:w="5039" w:type="dxa"/>
          </w:tcPr>
          <w:p w:rsidR="00BF620B" w:rsidRPr="006973B5" w:rsidRDefault="00BF620B" w:rsidP="00BF620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-l’augmentation des superficies aménagées et facilitation de leur accès aux producteurs</w:t>
            </w:r>
          </w:p>
          <w:p w:rsidR="00082559" w:rsidRPr="006973B5" w:rsidRDefault="00BF620B" w:rsidP="00BF620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modernisation de la production céréalière en vue de l’augmentation de la productivité</w:t>
            </w:r>
          </w:p>
        </w:tc>
      </w:tr>
      <w:tr w:rsidR="00082559" w:rsidRPr="006973B5" w:rsidTr="00903092">
        <w:trPr>
          <w:trHeight w:val="176"/>
        </w:trPr>
        <w:tc>
          <w:tcPr>
            <w:tcW w:w="2289" w:type="dxa"/>
            <w:vMerge/>
          </w:tcPr>
          <w:p w:rsidR="00082559" w:rsidRPr="006973B5" w:rsidRDefault="00082559" w:rsidP="0042039A">
            <w:pPr>
              <w:autoSpaceDE w:val="0"/>
              <w:autoSpaceDN w:val="0"/>
              <w:adjustRightInd w:val="0"/>
              <w:spacing w:line="276" w:lineRule="auto"/>
              <w:jc w:val="both"/>
              <w:rPr>
                <w:rFonts w:ascii="Times New Roman" w:hAnsi="Times New Roman" w:cs="Times New Roman"/>
                <w:b/>
                <w:sz w:val="28"/>
                <w:szCs w:val="28"/>
              </w:rPr>
            </w:pPr>
          </w:p>
        </w:tc>
        <w:tc>
          <w:tcPr>
            <w:tcW w:w="1930" w:type="dxa"/>
          </w:tcPr>
          <w:p w:rsidR="00082559" w:rsidRPr="006973B5" w:rsidRDefault="00082559" w:rsidP="0042039A">
            <w:pPr>
              <w:autoSpaceDE w:val="0"/>
              <w:autoSpaceDN w:val="0"/>
              <w:adjustRightInd w:val="0"/>
              <w:spacing w:line="276" w:lineRule="auto"/>
              <w:jc w:val="both"/>
              <w:rPr>
                <w:rFonts w:ascii="Times New Roman" w:hAnsi="Times New Roman" w:cs="Times New Roman"/>
                <w:b/>
                <w:bCs/>
                <w:sz w:val="28"/>
                <w:szCs w:val="28"/>
              </w:rPr>
            </w:pPr>
            <w:r w:rsidRPr="006973B5">
              <w:rPr>
                <w:rFonts w:ascii="Times New Roman" w:hAnsi="Times New Roman" w:cs="Times New Roman"/>
              </w:rPr>
              <w:t>Filière coton</w:t>
            </w:r>
          </w:p>
        </w:tc>
        <w:tc>
          <w:tcPr>
            <w:tcW w:w="1985" w:type="dxa"/>
          </w:tcPr>
          <w:p w:rsidR="00C54457" w:rsidRPr="006973B5" w:rsidRDefault="00C54457" w:rsidP="00C5445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La filière coton continue à occuper une place privilégiée dans l’économie de la région de</w:t>
            </w:r>
          </w:p>
          <w:p w:rsidR="00C54457" w:rsidRPr="006973B5" w:rsidRDefault="00C54457" w:rsidP="00C5445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Sikasso avec 20 à 45% des superficies agricoles régionales qui lui sont consacrées. Plus de</w:t>
            </w:r>
          </w:p>
          <w:p w:rsidR="00C54457" w:rsidRPr="006973B5" w:rsidRDefault="00C54457" w:rsidP="00C5445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70% de la production nationale de coton est ainsi réalisée par la région de Sikasso ce qui</w:t>
            </w:r>
          </w:p>
          <w:p w:rsidR="00082559" w:rsidRPr="006973B5" w:rsidRDefault="00C54457" w:rsidP="00C54457">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lastRenderedPageBreak/>
              <w:t>indique les énormes potentialités de cette filière dans la région</w:t>
            </w:r>
          </w:p>
        </w:tc>
        <w:tc>
          <w:tcPr>
            <w:tcW w:w="3543" w:type="dxa"/>
          </w:tcPr>
          <w:p w:rsidR="00903092" w:rsidRPr="006973B5" w:rsidRDefault="00C54457" w:rsidP="00903092">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Cependant, la filière</w:t>
            </w:r>
            <w:r w:rsidR="00F60A6B" w:rsidRPr="006973B5">
              <w:rPr>
                <w:rFonts w:ascii="Times New Roman" w:hAnsi="Times New Roman" w:cs="Times New Roman"/>
                <w:sz w:val="20"/>
                <w:szCs w:val="24"/>
              </w:rPr>
              <w:t xml:space="preserve"> </w:t>
            </w:r>
            <w:r w:rsidRPr="006973B5">
              <w:rPr>
                <w:rFonts w:ascii="Times New Roman" w:hAnsi="Times New Roman" w:cs="Times New Roman"/>
                <w:sz w:val="20"/>
                <w:szCs w:val="24"/>
              </w:rPr>
              <w:t>cotonnière fait face à des difficultés ces dernières années pour des raisons d’ordre exogène</w:t>
            </w:r>
            <w:r w:rsidR="00DC1914" w:rsidRPr="006973B5">
              <w:rPr>
                <w:rFonts w:ascii="Times New Roman" w:hAnsi="Times New Roman" w:cs="Times New Roman"/>
                <w:sz w:val="20"/>
                <w:szCs w:val="24"/>
              </w:rPr>
              <w:t xml:space="preserve"> </w:t>
            </w:r>
            <w:r w:rsidRPr="006973B5">
              <w:rPr>
                <w:rFonts w:ascii="Times New Roman" w:hAnsi="Times New Roman" w:cs="Times New Roman"/>
                <w:sz w:val="20"/>
                <w:szCs w:val="24"/>
              </w:rPr>
              <w:t xml:space="preserve">liées à la chute des cours mondiaux du coton. </w:t>
            </w:r>
          </w:p>
          <w:p w:rsidR="00082559" w:rsidRPr="006973B5" w:rsidRDefault="00082559" w:rsidP="00C54457">
            <w:pPr>
              <w:autoSpaceDE w:val="0"/>
              <w:autoSpaceDN w:val="0"/>
              <w:adjustRightInd w:val="0"/>
              <w:spacing w:line="276" w:lineRule="auto"/>
              <w:jc w:val="both"/>
              <w:rPr>
                <w:rFonts w:ascii="Times New Roman" w:hAnsi="Times New Roman" w:cs="Times New Roman"/>
                <w:sz w:val="20"/>
                <w:szCs w:val="24"/>
              </w:rPr>
            </w:pPr>
          </w:p>
        </w:tc>
        <w:tc>
          <w:tcPr>
            <w:tcW w:w="5039" w:type="dxa"/>
            <w:shd w:val="clear" w:color="auto" w:fill="auto"/>
          </w:tcPr>
          <w:p w:rsidR="00903092" w:rsidRPr="006973B5" w:rsidRDefault="00C54457" w:rsidP="00C5445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Il s’agira </w:t>
            </w:r>
          </w:p>
          <w:p w:rsidR="00903092" w:rsidRPr="006973B5" w:rsidRDefault="00903092" w:rsidP="00C5445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w:t>
            </w:r>
            <w:r w:rsidR="00C54457" w:rsidRPr="006973B5">
              <w:rPr>
                <w:rFonts w:ascii="Times New Roman" w:hAnsi="Times New Roman" w:cs="Times New Roman"/>
                <w:sz w:val="20"/>
                <w:szCs w:val="24"/>
              </w:rPr>
              <w:t xml:space="preserve">apporter un soutien aux producteurs pour leur permettre de faire face aux fluctuations des cours mondiaux de coton sur lesquels ils n’ont aucune emprise. </w:t>
            </w:r>
          </w:p>
          <w:p w:rsidR="00082559" w:rsidRPr="006973B5" w:rsidRDefault="00903092" w:rsidP="00903092">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d</w:t>
            </w:r>
            <w:r w:rsidR="00C54457" w:rsidRPr="006973B5">
              <w:rPr>
                <w:rFonts w:ascii="Times New Roman" w:hAnsi="Times New Roman" w:cs="Times New Roman"/>
                <w:sz w:val="20"/>
                <w:szCs w:val="24"/>
              </w:rPr>
              <w:t>iversifi</w:t>
            </w:r>
            <w:r w:rsidRPr="006973B5">
              <w:rPr>
                <w:rFonts w:ascii="Times New Roman" w:hAnsi="Times New Roman" w:cs="Times New Roman"/>
                <w:sz w:val="20"/>
                <w:szCs w:val="24"/>
              </w:rPr>
              <w:t>er</w:t>
            </w:r>
            <w:r w:rsidR="00C54457" w:rsidRPr="006973B5">
              <w:rPr>
                <w:rFonts w:ascii="Times New Roman" w:hAnsi="Times New Roman" w:cs="Times New Roman"/>
                <w:sz w:val="20"/>
                <w:szCs w:val="24"/>
              </w:rPr>
              <w:t xml:space="preserve"> des spéculations à travers le développement des cultures émergentes</w:t>
            </w:r>
            <w:r w:rsidR="00DC1914" w:rsidRPr="006973B5">
              <w:rPr>
                <w:rFonts w:ascii="Times New Roman" w:hAnsi="Times New Roman" w:cs="Times New Roman"/>
                <w:sz w:val="20"/>
                <w:szCs w:val="24"/>
              </w:rPr>
              <w:t xml:space="preserve"> </w:t>
            </w:r>
            <w:r w:rsidR="00C54457" w:rsidRPr="006973B5">
              <w:rPr>
                <w:rFonts w:ascii="Times New Roman" w:hAnsi="Times New Roman" w:cs="Times New Roman"/>
                <w:sz w:val="20"/>
                <w:szCs w:val="24"/>
              </w:rPr>
              <w:t>permettra à ces producteurs de diversifier leurs sources de revenus et d’éviter une dépendance</w:t>
            </w:r>
            <w:r w:rsidR="00DC1914" w:rsidRPr="006973B5">
              <w:rPr>
                <w:rFonts w:ascii="Times New Roman" w:hAnsi="Times New Roman" w:cs="Times New Roman"/>
                <w:sz w:val="20"/>
                <w:szCs w:val="24"/>
              </w:rPr>
              <w:t xml:space="preserve"> </w:t>
            </w:r>
            <w:r w:rsidR="00C54457" w:rsidRPr="006973B5">
              <w:rPr>
                <w:rFonts w:ascii="Times New Roman" w:hAnsi="Times New Roman" w:cs="Times New Roman"/>
                <w:sz w:val="20"/>
                <w:szCs w:val="24"/>
              </w:rPr>
              <w:t>que pourrait engendrer une monoculture cotonnière</w:t>
            </w:r>
          </w:p>
        </w:tc>
      </w:tr>
      <w:tr w:rsidR="00082559" w:rsidRPr="006973B5" w:rsidTr="00B63674">
        <w:trPr>
          <w:trHeight w:val="176"/>
        </w:trPr>
        <w:tc>
          <w:tcPr>
            <w:tcW w:w="2289" w:type="dxa"/>
          </w:tcPr>
          <w:p w:rsidR="00082559" w:rsidRPr="006973B5" w:rsidRDefault="00082559" w:rsidP="0042039A">
            <w:pPr>
              <w:autoSpaceDE w:val="0"/>
              <w:autoSpaceDN w:val="0"/>
              <w:adjustRightInd w:val="0"/>
              <w:spacing w:line="276" w:lineRule="auto"/>
              <w:jc w:val="both"/>
              <w:rPr>
                <w:rFonts w:ascii="Times New Roman" w:hAnsi="Times New Roman" w:cs="Times New Roman"/>
                <w:b/>
                <w:sz w:val="28"/>
                <w:szCs w:val="28"/>
              </w:rPr>
            </w:pPr>
            <w:r w:rsidRPr="006973B5">
              <w:rPr>
                <w:rFonts w:ascii="Times New Roman" w:hAnsi="Times New Roman" w:cs="Times New Roman"/>
                <w:b/>
                <w:bCs/>
              </w:rPr>
              <w:lastRenderedPageBreak/>
              <w:t>Elevage</w:t>
            </w:r>
          </w:p>
        </w:tc>
        <w:tc>
          <w:tcPr>
            <w:tcW w:w="1930" w:type="dxa"/>
          </w:tcPr>
          <w:p w:rsidR="00082559" w:rsidRPr="006973B5" w:rsidRDefault="00082559" w:rsidP="0042039A">
            <w:pPr>
              <w:autoSpaceDE w:val="0"/>
              <w:autoSpaceDN w:val="0"/>
              <w:adjustRightInd w:val="0"/>
              <w:spacing w:line="276" w:lineRule="auto"/>
              <w:jc w:val="both"/>
              <w:rPr>
                <w:rFonts w:ascii="Times New Roman" w:hAnsi="Times New Roman" w:cs="Times New Roman"/>
                <w:b/>
                <w:bCs/>
                <w:sz w:val="28"/>
                <w:szCs w:val="28"/>
              </w:rPr>
            </w:pPr>
            <w:r w:rsidRPr="006973B5">
              <w:rPr>
                <w:rFonts w:ascii="Times New Roman" w:hAnsi="Times New Roman" w:cs="Times New Roman"/>
              </w:rPr>
              <w:t>Filière bétail/viande</w:t>
            </w:r>
            <w:r w:rsidR="00DC1914" w:rsidRPr="006973B5">
              <w:rPr>
                <w:rFonts w:ascii="Times New Roman" w:hAnsi="Times New Roman" w:cs="Times New Roman"/>
              </w:rPr>
              <w:t xml:space="preserve"> et lait</w:t>
            </w:r>
          </w:p>
        </w:tc>
        <w:tc>
          <w:tcPr>
            <w:tcW w:w="1985" w:type="dxa"/>
          </w:tcPr>
          <w:p w:rsidR="00DC1914" w:rsidRPr="006973B5" w:rsidRDefault="00DC1914" w:rsidP="00DC191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Les filières issues de l’élevage bénéficient de conditions agro-climatiques et hydrauliques favorables dans la région de Sikasso. Ainsi, les plus fortes concentrations du bétail sont observées dans les cercles de Koutiala, Sikasso et Kadiolo où les capacités de charge sont très</w:t>
            </w:r>
          </w:p>
          <w:p w:rsidR="00082559" w:rsidRPr="006973B5" w:rsidRDefault="00DC1914" w:rsidP="00DC1914">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souvent dépassées</w:t>
            </w:r>
          </w:p>
        </w:tc>
        <w:tc>
          <w:tcPr>
            <w:tcW w:w="3543" w:type="dxa"/>
          </w:tcPr>
          <w:p w:rsidR="00082559" w:rsidRPr="006973B5" w:rsidRDefault="00DC1914" w:rsidP="00DC191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Cependant, les principales contraintes de la filière laitière sont le nombre insuffisant d’unités de collecte, de stockage et de traitement du lait en particulier le nombre limité de mini laiteries dans la région. En effet, la région ne compte que quatre mini-laiteries qui n’ont qu’une faible capacité de collecte et de conditionnement de la production laitière locale</w:t>
            </w:r>
          </w:p>
        </w:tc>
        <w:tc>
          <w:tcPr>
            <w:tcW w:w="5039" w:type="dxa"/>
          </w:tcPr>
          <w:p w:rsidR="00DC1914" w:rsidRPr="006973B5" w:rsidRDefault="00DC1914" w:rsidP="00DC1914">
            <w:pPr>
              <w:autoSpaceDE w:val="0"/>
              <w:autoSpaceDN w:val="0"/>
              <w:adjustRightInd w:val="0"/>
              <w:jc w:val="both"/>
              <w:rPr>
                <w:rFonts w:ascii="Times New Roman" w:hAnsi="Times New Roman" w:cs="Times New Roman"/>
                <w:sz w:val="20"/>
                <w:szCs w:val="24"/>
              </w:rPr>
            </w:pPr>
            <w:r w:rsidRPr="006973B5">
              <w:rPr>
                <w:rFonts w:ascii="Times New Roman" w:hAnsi="Times New Roman" w:cs="Times New Roman"/>
                <w:sz w:val="20"/>
                <w:szCs w:val="24"/>
              </w:rPr>
              <w:t xml:space="preserve">- renforcer les capacités régionales en matière de collecte, stockage et traitement avec notamment l’augmentation des unités de collecte et des mini-laiteries ainsi que leur répartition équilibrée dans tous les cercles de la région ayant des potentialités en matière de production laitière. </w:t>
            </w:r>
          </w:p>
          <w:p w:rsidR="00DC1914" w:rsidRPr="006973B5" w:rsidRDefault="00DC1914" w:rsidP="00DC1914">
            <w:pPr>
              <w:autoSpaceDE w:val="0"/>
              <w:autoSpaceDN w:val="0"/>
              <w:adjustRightInd w:val="0"/>
              <w:jc w:val="both"/>
              <w:rPr>
                <w:rFonts w:ascii="Times New Roman" w:hAnsi="Times New Roman" w:cs="Times New Roman"/>
                <w:sz w:val="20"/>
                <w:szCs w:val="24"/>
              </w:rPr>
            </w:pPr>
          </w:p>
          <w:p w:rsidR="00082559" w:rsidRPr="006973B5" w:rsidRDefault="00DC1914" w:rsidP="00DC1914">
            <w:pPr>
              <w:autoSpaceDE w:val="0"/>
              <w:autoSpaceDN w:val="0"/>
              <w:adjustRightInd w:val="0"/>
              <w:jc w:val="both"/>
              <w:rPr>
                <w:rFonts w:ascii="Times New Roman" w:hAnsi="Times New Roman" w:cs="Times New Roman"/>
                <w:sz w:val="20"/>
                <w:szCs w:val="24"/>
              </w:rPr>
            </w:pPr>
            <w:r w:rsidRPr="006973B5">
              <w:rPr>
                <w:rFonts w:ascii="Times New Roman" w:hAnsi="Times New Roman" w:cs="Times New Roman"/>
                <w:sz w:val="20"/>
                <w:szCs w:val="24"/>
              </w:rPr>
              <w:t>- Pour la filière bétail/viande, il s’agira de promouvoir le développement d’unités industrielles de transformation animale dans la région de Sikasso.</w:t>
            </w:r>
          </w:p>
        </w:tc>
      </w:tr>
    </w:tbl>
    <w:p w:rsidR="0042039A" w:rsidRPr="006973B5" w:rsidRDefault="0042039A" w:rsidP="00A42923">
      <w:pPr>
        <w:autoSpaceDE w:val="0"/>
        <w:autoSpaceDN w:val="0"/>
        <w:adjustRightInd w:val="0"/>
        <w:spacing w:after="0" w:line="276" w:lineRule="auto"/>
        <w:jc w:val="both"/>
        <w:rPr>
          <w:rFonts w:ascii="Times New Roman" w:hAnsi="Times New Roman" w:cs="Times New Roman"/>
          <w:sz w:val="24"/>
          <w:szCs w:val="24"/>
        </w:rPr>
        <w:sectPr w:rsidR="0042039A" w:rsidRPr="006973B5" w:rsidSect="006970C1">
          <w:pgSz w:w="16838" w:h="11906" w:orient="landscape"/>
          <w:pgMar w:top="1134" w:right="1134" w:bottom="1134" w:left="1134" w:header="709" w:footer="709" w:gutter="0"/>
          <w:cols w:space="708"/>
          <w:docGrid w:linePitch="360"/>
        </w:sectPr>
      </w:pPr>
    </w:p>
    <w:p w:rsidR="0042039A" w:rsidRPr="006973B5" w:rsidRDefault="0042039A" w:rsidP="00937EDF">
      <w:pPr>
        <w:pStyle w:val="Titre2"/>
        <w:numPr>
          <w:ilvl w:val="1"/>
          <w:numId w:val="14"/>
        </w:numPr>
        <w:rPr>
          <w:rFonts w:ascii="Times New Roman" w:hAnsi="Times New Roman" w:cs="Times New Roman"/>
          <w:b/>
          <w:color w:val="auto"/>
        </w:rPr>
      </w:pPr>
      <w:bookmarkStart w:id="64" w:name="_Toc516676428"/>
      <w:r w:rsidRPr="006973B5">
        <w:rPr>
          <w:rFonts w:ascii="Times New Roman" w:hAnsi="Times New Roman" w:cs="Times New Roman"/>
          <w:b/>
          <w:color w:val="auto"/>
        </w:rPr>
        <w:lastRenderedPageBreak/>
        <w:t>Analyse du mar</w:t>
      </w:r>
      <w:r w:rsidR="00E05DBD" w:rsidRPr="006973B5">
        <w:rPr>
          <w:rFonts w:ascii="Times New Roman" w:hAnsi="Times New Roman" w:cs="Times New Roman"/>
          <w:b/>
          <w:color w:val="auto"/>
        </w:rPr>
        <w:t>ché local de la région de Ségou</w:t>
      </w:r>
      <w:bookmarkEnd w:id="64"/>
    </w:p>
    <w:p w:rsidR="0042039A" w:rsidRPr="006973B5" w:rsidRDefault="0042039A" w:rsidP="0042039A">
      <w:pPr>
        <w:autoSpaceDE w:val="0"/>
        <w:autoSpaceDN w:val="0"/>
        <w:adjustRightInd w:val="0"/>
        <w:spacing w:after="0" w:line="276" w:lineRule="auto"/>
        <w:jc w:val="both"/>
        <w:rPr>
          <w:rFonts w:ascii="Times New Roman" w:hAnsi="Times New Roman" w:cs="Times New Roman"/>
          <w:sz w:val="24"/>
          <w:szCs w:val="24"/>
        </w:rPr>
      </w:pPr>
    </w:p>
    <w:p w:rsidR="0042039A" w:rsidRPr="006973B5" w:rsidRDefault="0042039A" w:rsidP="00937EDF">
      <w:pPr>
        <w:pStyle w:val="Paragraphedeliste"/>
        <w:numPr>
          <w:ilvl w:val="2"/>
          <w:numId w:val="14"/>
        </w:numPr>
        <w:autoSpaceDE w:val="0"/>
        <w:autoSpaceDN w:val="0"/>
        <w:adjustRightInd w:val="0"/>
        <w:spacing w:after="0" w:line="276" w:lineRule="auto"/>
        <w:jc w:val="both"/>
        <w:rPr>
          <w:rFonts w:ascii="Times New Roman" w:hAnsi="Times New Roman" w:cs="Times New Roman"/>
          <w:b/>
          <w:bCs/>
          <w:i/>
          <w:iCs/>
          <w:sz w:val="24"/>
          <w:szCs w:val="20"/>
        </w:rPr>
      </w:pPr>
      <w:r w:rsidRPr="006973B5">
        <w:rPr>
          <w:rFonts w:ascii="Times New Roman" w:hAnsi="Times New Roman" w:cs="Times New Roman"/>
          <w:b/>
          <w:bCs/>
          <w:i/>
          <w:iCs/>
          <w:sz w:val="24"/>
          <w:szCs w:val="20"/>
        </w:rPr>
        <w:t>Les potentialités économiques de la région de S</w:t>
      </w:r>
      <w:r w:rsidR="00747AFB" w:rsidRPr="006973B5">
        <w:rPr>
          <w:rFonts w:ascii="Times New Roman" w:hAnsi="Times New Roman" w:cs="Times New Roman"/>
          <w:b/>
          <w:bCs/>
          <w:i/>
          <w:iCs/>
          <w:sz w:val="24"/>
          <w:szCs w:val="20"/>
        </w:rPr>
        <w:t>égou</w:t>
      </w:r>
    </w:p>
    <w:p w:rsidR="00747AFB" w:rsidRPr="006973B5" w:rsidRDefault="00747AFB" w:rsidP="00747AFB">
      <w:pPr>
        <w:pStyle w:val="Paragraphedeliste"/>
        <w:autoSpaceDE w:val="0"/>
        <w:autoSpaceDN w:val="0"/>
        <w:adjustRightInd w:val="0"/>
        <w:spacing w:after="0" w:line="276" w:lineRule="auto"/>
        <w:jc w:val="both"/>
        <w:rPr>
          <w:rFonts w:ascii="Times New Roman" w:hAnsi="Times New Roman" w:cs="Times New Roman"/>
          <w:b/>
          <w:bCs/>
          <w:i/>
          <w:iCs/>
          <w:sz w:val="24"/>
          <w:szCs w:val="20"/>
        </w:rPr>
      </w:pPr>
    </w:p>
    <w:p w:rsidR="006860C6" w:rsidRPr="006973B5" w:rsidRDefault="00897E3F" w:rsidP="002866BC">
      <w:pPr>
        <w:autoSpaceDE w:val="0"/>
        <w:autoSpaceDN w:val="0"/>
        <w:adjustRightInd w:val="0"/>
        <w:spacing w:after="0" w:line="240" w:lineRule="auto"/>
        <w:jc w:val="both"/>
        <w:rPr>
          <w:rFonts w:ascii="Times New Roman" w:hAnsi="Times New Roman" w:cs="Times New Roman"/>
          <w:sz w:val="24"/>
          <w:szCs w:val="24"/>
        </w:rPr>
      </w:pPr>
      <w:r w:rsidRPr="006973B5">
        <w:rPr>
          <w:rFonts w:ascii="Times New Roman" w:hAnsi="Times New Roman" w:cs="Times New Roman"/>
          <w:sz w:val="24"/>
          <w:szCs w:val="24"/>
        </w:rPr>
        <w:t xml:space="preserve">La région de Ségou se trouve au Centre du Pays, avec une superficie de 62 504 km².  La population de la région est estimée à 3 037 800 habitants 2017, dont 398 191 jeunes âgés de 15 à 24, soit 13,1% de la population totale. </w:t>
      </w:r>
      <w:r w:rsidR="006860C6" w:rsidRPr="006973B5">
        <w:rPr>
          <w:rFonts w:ascii="Times New Roman" w:hAnsi="Times New Roman" w:cs="Times New Roman"/>
          <w:sz w:val="24"/>
          <w:szCs w:val="24"/>
        </w:rPr>
        <w:t>Tout comme la plupart des régions, l</w:t>
      </w:r>
      <w:r w:rsidR="001679F7" w:rsidRPr="006973B5">
        <w:rPr>
          <w:rFonts w:ascii="Times New Roman" w:hAnsi="Times New Roman" w:cs="Times New Roman"/>
          <w:sz w:val="24"/>
          <w:szCs w:val="24"/>
        </w:rPr>
        <w:t xml:space="preserve">’économie de la région de Ségou </w:t>
      </w:r>
      <w:r w:rsidR="006860C6" w:rsidRPr="006973B5">
        <w:rPr>
          <w:rFonts w:ascii="Times New Roman" w:hAnsi="Times New Roman" w:cs="Times New Roman"/>
          <w:sz w:val="24"/>
          <w:szCs w:val="24"/>
        </w:rPr>
        <w:t xml:space="preserve">repose sur les </w:t>
      </w:r>
      <w:r w:rsidR="001679F7" w:rsidRPr="006973B5">
        <w:rPr>
          <w:rFonts w:ascii="Times New Roman" w:hAnsi="Times New Roman" w:cs="Times New Roman"/>
          <w:sz w:val="24"/>
          <w:szCs w:val="24"/>
        </w:rPr>
        <w:t>potentialités hydro-agricoles</w:t>
      </w:r>
      <w:r w:rsidR="006860C6" w:rsidRPr="006973B5">
        <w:rPr>
          <w:rFonts w:ascii="Times New Roman" w:hAnsi="Times New Roman" w:cs="Times New Roman"/>
          <w:sz w:val="24"/>
          <w:szCs w:val="24"/>
        </w:rPr>
        <w:t>. Ce secteur emploi 70,3% des jeunes âgés de 15 à 24 ans.</w:t>
      </w:r>
    </w:p>
    <w:p w:rsidR="00897E3F" w:rsidRPr="006973B5" w:rsidRDefault="00897E3F" w:rsidP="0042039A">
      <w:pPr>
        <w:autoSpaceDE w:val="0"/>
        <w:autoSpaceDN w:val="0"/>
        <w:adjustRightInd w:val="0"/>
        <w:spacing w:after="0" w:line="240" w:lineRule="auto"/>
        <w:rPr>
          <w:rFonts w:ascii="Times New Roman" w:hAnsi="Times New Roman" w:cs="Times New Roman"/>
          <w:sz w:val="24"/>
          <w:szCs w:val="24"/>
        </w:rPr>
      </w:pPr>
    </w:p>
    <w:p w:rsidR="00897E3F" w:rsidRPr="006973B5" w:rsidRDefault="00897E3F" w:rsidP="0042039A">
      <w:pPr>
        <w:autoSpaceDE w:val="0"/>
        <w:autoSpaceDN w:val="0"/>
        <w:adjustRightInd w:val="0"/>
        <w:spacing w:after="0" w:line="240" w:lineRule="auto"/>
        <w:rPr>
          <w:rFonts w:ascii="Times New Roman" w:hAnsi="Times New Roman" w:cs="Times New Roman"/>
          <w:sz w:val="24"/>
          <w:szCs w:val="24"/>
        </w:rPr>
      </w:pPr>
    </w:p>
    <w:p w:rsidR="00A5520B" w:rsidRPr="006973B5" w:rsidRDefault="00A5520B" w:rsidP="0042039A">
      <w:pPr>
        <w:autoSpaceDE w:val="0"/>
        <w:autoSpaceDN w:val="0"/>
        <w:adjustRightInd w:val="0"/>
        <w:spacing w:after="0" w:line="240" w:lineRule="auto"/>
        <w:rPr>
          <w:rFonts w:ascii="Times New Roman" w:hAnsi="Times New Roman" w:cs="Times New Roman"/>
          <w:sz w:val="24"/>
          <w:szCs w:val="24"/>
        </w:rPr>
      </w:pPr>
    </w:p>
    <w:p w:rsidR="00A5520B" w:rsidRPr="006973B5" w:rsidRDefault="00A5520B" w:rsidP="0042039A">
      <w:pPr>
        <w:autoSpaceDE w:val="0"/>
        <w:autoSpaceDN w:val="0"/>
        <w:adjustRightInd w:val="0"/>
        <w:spacing w:after="0" w:line="240" w:lineRule="auto"/>
        <w:rPr>
          <w:rFonts w:ascii="Times New Roman" w:hAnsi="Times New Roman" w:cs="Times New Roman"/>
          <w:sz w:val="24"/>
          <w:szCs w:val="24"/>
        </w:rPr>
      </w:pPr>
    </w:p>
    <w:p w:rsidR="00A5520B" w:rsidRPr="006973B5" w:rsidRDefault="00A5520B" w:rsidP="0042039A">
      <w:pPr>
        <w:autoSpaceDE w:val="0"/>
        <w:autoSpaceDN w:val="0"/>
        <w:adjustRightInd w:val="0"/>
        <w:spacing w:after="0" w:line="240" w:lineRule="auto"/>
        <w:rPr>
          <w:rFonts w:ascii="Times New Roman" w:hAnsi="Times New Roman" w:cs="Times New Roman"/>
          <w:sz w:val="24"/>
          <w:szCs w:val="24"/>
        </w:rPr>
      </w:pPr>
    </w:p>
    <w:p w:rsidR="00A5520B" w:rsidRPr="006973B5" w:rsidRDefault="00A5520B" w:rsidP="0042039A">
      <w:pPr>
        <w:autoSpaceDE w:val="0"/>
        <w:autoSpaceDN w:val="0"/>
        <w:adjustRightInd w:val="0"/>
        <w:spacing w:after="0" w:line="240" w:lineRule="auto"/>
        <w:rPr>
          <w:rFonts w:ascii="Times New Roman" w:hAnsi="Times New Roman" w:cs="Times New Roman"/>
          <w:sz w:val="24"/>
          <w:szCs w:val="24"/>
        </w:rPr>
      </w:pPr>
    </w:p>
    <w:p w:rsidR="00A5520B" w:rsidRPr="006973B5" w:rsidRDefault="00A5520B" w:rsidP="0042039A">
      <w:pPr>
        <w:autoSpaceDE w:val="0"/>
        <w:autoSpaceDN w:val="0"/>
        <w:adjustRightInd w:val="0"/>
        <w:spacing w:after="0" w:line="240" w:lineRule="auto"/>
        <w:rPr>
          <w:rFonts w:ascii="Times New Roman" w:hAnsi="Times New Roman" w:cs="Times New Roman"/>
          <w:sz w:val="24"/>
          <w:szCs w:val="24"/>
        </w:rPr>
      </w:pPr>
    </w:p>
    <w:p w:rsidR="00A5520B" w:rsidRPr="006973B5" w:rsidRDefault="00A5520B" w:rsidP="0042039A">
      <w:pPr>
        <w:autoSpaceDE w:val="0"/>
        <w:autoSpaceDN w:val="0"/>
        <w:adjustRightInd w:val="0"/>
        <w:spacing w:after="0" w:line="240" w:lineRule="auto"/>
        <w:rPr>
          <w:rFonts w:ascii="Times New Roman" w:hAnsi="Times New Roman" w:cs="Times New Roman"/>
          <w:sz w:val="24"/>
          <w:szCs w:val="24"/>
        </w:rPr>
      </w:pPr>
    </w:p>
    <w:p w:rsidR="00A5520B" w:rsidRPr="006973B5" w:rsidRDefault="00A5520B" w:rsidP="0042039A">
      <w:pPr>
        <w:autoSpaceDE w:val="0"/>
        <w:autoSpaceDN w:val="0"/>
        <w:adjustRightInd w:val="0"/>
        <w:spacing w:after="0" w:line="240" w:lineRule="auto"/>
        <w:rPr>
          <w:rFonts w:ascii="Times New Roman" w:hAnsi="Times New Roman" w:cs="Times New Roman"/>
          <w:sz w:val="24"/>
          <w:szCs w:val="24"/>
        </w:rPr>
      </w:pPr>
    </w:p>
    <w:p w:rsidR="00A5520B" w:rsidRPr="006973B5" w:rsidRDefault="00A5520B" w:rsidP="0042039A">
      <w:pPr>
        <w:autoSpaceDE w:val="0"/>
        <w:autoSpaceDN w:val="0"/>
        <w:adjustRightInd w:val="0"/>
        <w:spacing w:after="0" w:line="240" w:lineRule="auto"/>
        <w:rPr>
          <w:rFonts w:ascii="Times New Roman" w:hAnsi="Times New Roman" w:cs="Times New Roman"/>
          <w:sz w:val="24"/>
          <w:szCs w:val="24"/>
        </w:rPr>
        <w:sectPr w:rsidR="00A5520B" w:rsidRPr="006973B5" w:rsidSect="0042039A">
          <w:pgSz w:w="11906" w:h="16838"/>
          <w:pgMar w:top="1134" w:right="1134" w:bottom="1134" w:left="1134" w:header="709" w:footer="709" w:gutter="0"/>
          <w:cols w:space="708"/>
          <w:docGrid w:linePitch="360"/>
        </w:sectPr>
      </w:pPr>
    </w:p>
    <w:p w:rsidR="00A5520B" w:rsidRPr="006973B5" w:rsidRDefault="00A5520B" w:rsidP="0042039A">
      <w:pPr>
        <w:autoSpaceDE w:val="0"/>
        <w:autoSpaceDN w:val="0"/>
        <w:adjustRightInd w:val="0"/>
        <w:spacing w:after="0" w:line="240" w:lineRule="auto"/>
        <w:rPr>
          <w:rFonts w:ascii="Times New Roman" w:hAnsi="Times New Roman" w:cs="Times New Roman"/>
          <w:sz w:val="24"/>
          <w:szCs w:val="24"/>
        </w:rPr>
      </w:pPr>
    </w:p>
    <w:p w:rsidR="00A5520B" w:rsidRPr="006973B5" w:rsidRDefault="00A5520B" w:rsidP="0042039A">
      <w:pPr>
        <w:autoSpaceDE w:val="0"/>
        <w:autoSpaceDN w:val="0"/>
        <w:adjustRightInd w:val="0"/>
        <w:spacing w:after="0" w:line="240" w:lineRule="auto"/>
        <w:rPr>
          <w:rFonts w:ascii="Times New Roman" w:hAnsi="Times New Roman" w:cs="Times New Roman"/>
          <w:sz w:val="24"/>
          <w:szCs w:val="24"/>
        </w:rPr>
      </w:pPr>
    </w:p>
    <w:p w:rsidR="00A5520B" w:rsidRPr="006973B5" w:rsidRDefault="00A5520B" w:rsidP="0042039A">
      <w:pPr>
        <w:autoSpaceDE w:val="0"/>
        <w:autoSpaceDN w:val="0"/>
        <w:adjustRightInd w:val="0"/>
        <w:spacing w:after="0" w:line="240" w:lineRule="auto"/>
        <w:rPr>
          <w:rFonts w:ascii="Times New Roman" w:hAnsi="Times New Roman" w:cs="Times New Roman"/>
          <w:sz w:val="24"/>
          <w:szCs w:val="24"/>
        </w:rPr>
      </w:pPr>
    </w:p>
    <w:p w:rsidR="0042039A" w:rsidRPr="006973B5" w:rsidRDefault="0042039A" w:rsidP="0042039A">
      <w:pPr>
        <w:autoSpaceDE w:val="0"/>
        <w:autoSpaceDN w:val="0"/>
        <w:adjustRightInd w:val="0"/>
        <w:spacing w:after="0" w:line="276" w:lineRule="auto"/>
        <w:jc w:val="both"/>
        <w:rPr>
          <w:rFonts w:ascii="Times New Roman" w:hAnsi="Times New Roman" w:cs="Times New Roman"/>
          <w:sz w:val="24"/>
          <w:szCs w:val="24"/>
        </w:rPr>
      </w:pPr>
    </w:p>
    <w:p w:rsidR="0042039A" w:rsidRPr="006973B5" w:rsidRDefault="0042039A" w:rsidP="00937EDF">
      <w:pPr>
        <w:pStyle w:val="Paragraphedeliste"/>
        <w:numPr>
          <w:ilvl w:val="2"/>
          <w:numId w:val="14"/>
        </w:numPr>
        <w:rPr>
          <w:rFonts w:ascii="Times New Roman" w:hAnsi="Times New Roman" w:cs="Times New Roman"/>
          <w:b/>
          <w:bCs/>
          <w:i/>
          <w:iCs/>
          <w:sz w:val="24"/>
          <w:szCs w:val="20"/>
        </w:rPr>
      </w:pPr>
      <w:r w:rsidRPr="006973B5">
        <w:rPr>
          <w:rFonts w:ascii="Times New Roman" w:hAnsi="Times New Roman" w:cs="Times New Roman"/>
          <w:sz w:val="24"/>
          <w:szCs w:val="24"/>
        </w:rPr>
        <w:t xml:space="preserve"> </w:t>
      </w:r>
      <w:r w:rsidRPr="006973B5">
        <w:rPr>
          <w:rFonts w:ascii="Times New Roman" w:hAnsi="Times New Roman" w:cs="Times New Roman"/>
          <w:b/>
          <w:bCs/>
          <w:i/>
          <w:iCs/>
          <w:sz w:val="24"/>
          <w:szCs w:val="20"/>
        </w:rPr>
        <w:t>Les filières porteuses de la région</w:t>
      </w:r>
    </w:p>
    <w:p w:rsidR="006970C1" w:rsidRPr="006973B5" w:rsidRDefault="006970C1" w:rsidP="00A42923">
      <w:pPr>
        <w:autoSpaceDE w:val="0"/>
        <w:autoSpaceDN w:val="0"/>
        <w:adjustRightInd w:val="0"/>
        <w:spacing w:after="0" w:line="276"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2258"/>
        <w:gridCol w:w="1916"/>
        <w:gridCol w:w="1974"/>
        <w:gridCol w:w="3487"/>
        <w:gridCol w:w="4925"/>
      </w:tblGrid>
      <w:tr w:rsidR="00A5520B" w:rsidRPr="006973B5" w:rsidTr="00B63674">
        <w:trPr>
          <w:trHeight w:val="176"/>
          <w:tblHeader/>
        </w:trPr>
        <w:tc>
          <w:tcPr>
            <w:tcW w:w="2289" w:type="dxa"/>
          </w:tcPr>
          <w:p w:rsidR="00A5520B" w:rsidRPr="006973B5" w:rsidRDefault="00A5520B" w:rsidP="00DA1A89">
            <w:pPr>
              <w:autoSpaceDE w:val="0"/>
              <w:autoSpaceDN w:val="0"/>
              <w:adjustRightInd w:val="0"/>
              <w:spacing w:line="276" w:lineRule="auto"/>
              <w:jc w:val="both"/>
              <w:rPr>
                <w:rFonts w:ascii="Times New Roman" w:hAnsi="Times New Roman" w:cs="Times New Roman"/>
                <w:b/>
                <w:sz w:val="28"/>
                <w:szCs w:val="28"/>
              </w:rPr>
            </w:pPr>
            <w:r w:rsidRPr="006973B5">
              <w:rPr>
                <w:rFonts w:ascii="Times New Roman" w:hAnsi="Times New Roman" w:cs="Times New Roman"/>
                <w:b/>
                <w:sz w:val="28"/>
                <w:szCs w:val="28"/>
              </w:rPr>
              <w:t>Grande famille</w:t>
            </w:r>
          </w:p>
        </w:tc>
        <w:tc>
          <w:tcPr>
            <w:tcW w:w="1930" w:type="dxa"/>
          </w:tcPr>
          <w:p w:rsidR="00A5520B" w:rsidRPr="006973B5" w:rsidRDefault="00A5520B" w:rsidP="00DA1A89">
            <w:pPr>
              <w:autoSpaceDE w:val="0"/>
              <w:autoSpaceDN w:val="0"/>
              <w:adjustRightInd w:val="0"/>
              <w:spacing w:line="276" w:lineRule="auto"/>
              <w:jc w:val="both"/>
              <w:rPr>
                <w:rFonts w:ascii="Times New Roman" w:hAnsi="Times New Roman" w:cs="Times New Roman"/>
                <w:sz w:val="28"/>
                <w:szCs w:val="28"/>
              </w:rPr>
            </w:pPr>
            <w:r w:rsidRPr="006973B5">
              <w:rPr>
                <w:rFonts w:ascii="Times New Roman" w:hAnsi="Times New Roman" w:cs="Times New Roman"/>
                <w:b/>
                <w:bCs/>
                <w:sz w:val="28"/>
                <w:szCs w:val="28"/>
              </w:rPr>
              <w:t>Principales filières</w:t>
            </w:r>
          </w:p>
        </w:tc>
        <w:tc>
          <w:tcPr>
            <w:tcW w:w="1985" w:type="dxa"/>
          </w:tcPr>
          <w:p w:rsidR="00A5520B" w:rsidRPr="006973B5" w:rsidRDefault="00A5520B" w:rsidP="00DA1A89">
            <w:pPr>
              <w:autoSpaceDE w:val="0"/>
              <w:autoSpaceDN w:val="0"/>
              <w:adjustRightInd w:val="0"/>
              <w:spacing w:line="276" w:lineRule="auto"/>
              <w:jc w:val="both"/>
              <w:rPr>
                <w:rFonts w:ascii="Times New Roman" w:hAnsi="Times New Roman" w:cs="Times New Roman"/>
                <w:sz w:val="28"/>
                <w:szCs w:val="28"/>
              </w:rPr>
            </w:pPr>
            <w:r w:rsidRPr="006973B5">
              <w:rPr>
                <w:rFonts w:ascii="Times New Roman" w:hAnsi="Times New Roman" w:cs="Times New Roman"/>
                <w:b/>
                <w:bCs/>
                <w:sz w:val="28"/>
                <w:szCs w:val="28"/>
              </w:rPr>
              <w:t xml:space="preserve">Potentialités </w:t>
            </w:r>
          </w:p>
        </w:tc>
        <w:tc>
          <w:tcPr>
            <w:tcW w:w="3543" w:type="dxa"/>
          </w:tcPr>
          <w:p w:rsidR="00A5520B" w:rsidRPr="006973B5" w:rsidRDefault="00A5520B" w:rsidP="00DA1A89">
            <w:pPr>
              <w:autoSpaceDE w:val="0"/>
              <w:autoSpaceDN w:val="0"/>
              <w:adjustRightInd w:val="0"/>
              <w:spacing w:line="276" w:lineRule="auto"/>
              <w:jc w:val="both"/>
              <w:rPr>
                <w:rFonts w:ascii="Times New Roman" w:hAnsi="Times New Roman" w:cs="Times New Roman"/>
                <w:b/>
                <w:bCs/>
                <w:sz w:val="28"/>
                <w:szCs w:val="28"/>
              </w:rPr>
            </w:pPr>
            <w:r w:rsidRPr="006973B5">
              <w:rPr>
                <w:rFonts w:ascii="Times New Roman" w:hAnsi="Times New Roman" w:cs="Times New Roman"/>
                <w:b/>
                <w:bCs/>
                <w:sz w:val="28"/>
                <w:szCs w:val="28"/>
              </w:rPr>
              <w:t>Contraintes</w:t>
            </w:r>
          </w:p>
        </w:tc>
        <w:tc>
          <w:tcPr>
            <w:tcW w:w="5039" w:type="dxa"/>
          </w:tcPr>
          <w:p w:rsidR="00A5520B" w:rsidRPr="006973B5" w:rsidRDefault="00A5520B" w:rsidP="00DA1A89">
            <w:pPr>
              <w:autoSpaceDE w:val="0"/>
              <w:autoSpaceDN w:val="0"/>
              <w:adjustRightInd w:val="0"/>
              <w:spacing w:line="276" w:lineRule="auto"/>
              <w:jc w:val="both"/>
              <w:rPr>
                <w:rFonts w:ascii="Times New Roman" w:hAnsi="Times New Roman" w:cs="Times New Roman"/>
                <w:sz w:val="28"/>
                <w:szCs w:val="28"/>
              </w:rPr>
            </w:pPr>
            <w:r w:rsidRPr="006973B5">
              <w:rPr>
                <w:rFonts w:ascii="Times New Roman" w:hAnsi="Times New Roman" w:cs="Times New Roman"/>
                <w:b/>
                <w:bCs/>
                <w:sz w:val="28"/>
                <w:szCs w:val="28"/>
              </w:rPr>
              <w:t>Actions devant être entreprises pour créer des emplois et développer la filière</w:t>
            </w:r>
          </w:p>
        </w:tc>
      </w:tr>
      <w:tr w:rsidR="00A5520B" w:rsidRPr="006973B5" w:rsidTr="00B63674">
        <w:trPr>
          <w:trHeight w:val="176"/>
        </w:trPr>
        <w:tc>
          <w:tcPr>
            <w:tcW w:w="2289" w:type="dxa"/>
            <w:vMerge w:val="restart"/>
          </w:tcPr>
          <w:p w:rsidR="00A5520B" w:rsidRPr="006973B5" w:rsidRDefault="00A5520B" w:rsidP="00A5520B">
            <w:pPr>
              <w:autoSpaceDE w:val="0"/>
              <w:autoSpaceDN w:val="0"/>
              <w:adjustRightInd w:val="0"/>
              <w:rPr>
                <w:rFonts w:ascii="Times New Roman" w:hAnsi="Times New Roman" w:cs="Times New Roman"/>
                <w:b/>
                <w:sz w:val="28"/>
                <w:szCs w:val="28"/>
              </w:rPr>
            </w:pPr>
            <w:r w:rsidRPr="006973B5">
              <w:rPr>
                <w:rFonts w:ascii="Times New Roman" w:hAnsi="Times New Roman" w:cs="Times New Roman"/>
                <w:b/>
                <w:bCs/>
                <w:sz w:val="20"/>
                <w:szCs w:val="20"/>
              </w:rPr>
              <w:t>Arboriculture fruitière et produits de cueillette</w:t>
            </w:r>
          </w:p>
        </w:tc>
        <w:tc>
          <w:tcPr>
            <w:tcW w:w="1930" w:type="dxa"/>
          </w:tcPr>
          <w:p w:rsidR="00A5520B" w:rsidRPr="006973B5" w:rsidRDefault="00A5520B" w:rsidP="00DA1A89">
            <w:pPr>
              <w:autoSpaceDE w:val="0"/>
              <w:autoSpaceDN w:val="0"/>
              <w:adjustRightInd w:val="0"/>
              <w:spacing w:line="276" w:lineRule="auto"/>
              <w:jc w:val="both"/>
              <w:rPr>
                <w:rFonts w:ascii="Times New Roman" w:hAnsi="Times New Roman" w:cs="Times New Roman"/>
                <w:b/>
                <w:bCs/>
                <w:sz w:val="28"/>
                <w:szCs w:val="28"/>
              </w:rPr>
            </w:pPr>
            <w:r w:rsidRPr="006973B5">
              <w:rPr>
                <w:rFonts w:ascii="Times New Roman" w:hAnsi="Times New Roman" w:cs="Times New Roman"/>
                <w:sz w:val="20"/>
                <w:szCs w:val="20"/>
              </w:rPr>
              <w:t>Filière papaye</w:t>
            </w:r>
          </w:p>
        </w:tc>
        <w:tc>
          <w:tcPr>
            <w:tcW w:w="1985" w:type="dxa"/>
          </w:tcPr>
          <w:p w:rsidR="00EC1C6E" w:rsidRPr="006973B5" w:rsidRDefault="00EC1C6E" w:rsidP="00EC1C6E">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des conditions naturelles favorables ;</w:t>
            </w:r>
          </w:p>
          <w:p w:rsidR="00EC1C6E" w:rsidRPr="006973B5" w:rsidRDefault="00EC1C6E" w:rsidP="00EC1C6E">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une importante production ;</w:t>
            </w:r>
          </w:p>
          <w:p w:rsidR="00A5520B" w:rsidRPr="006973B5" w:rsidRDefault="00EC1C6E" w:rsidP="00EC1C6E">
            <w:pPr>
              <w:autoSpaceDE w:val="0"/>
              <w:autoSpaceDN w:val="0"/>
              <w:adjustRightInd w:val="0"/>
              <w:spacing w:line="276" w:lineRule="auto"/>
              <w:rPr>
                <w:rFonts w:ascii="Times New Roman" w:hAnsi="Times New Roman" w:cs="Times New Roman"/>
                <w:sz w:val="20"/>
                <w:szCs w:val="24"/>
              </w:rPr>
            </w:pPr>
            <w:r w:rsidRPr="006973B5">
              <w:rPr>
                <w:rFonts w:ascii="Times New Roman" w:hAnsi="Times New Roman" w:cs="Times New Roman"/>
                <w:sz w:val="20"/>
                <w:szCs w:val="24"/>
              </w:rPr>
              <w:t>- l’existence d’un important marché national dans les centres urbains</w:t>
            </w:r>
          </w:p>
        </w:tc>
        <w:tc>
          <w:tcPr>
            <w:tcW w:w="3543" w:type="dxa"/>
          </w:tcPr>
          <w:p w:rsidR="00F86C10" w:rsidRPr="006973B5" w:rsidRDefault="00F86C10" w:rsidP="00F86C10">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le faible niveau de technicité des producteurs ;</w:t>
            </w:r>
          </w:p>
          <w:p w:rsidR="00F86C10" w:rsidRPr="006973B5" w:rsidRDefault="00F86C10" w:rsidP="00F86C10">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un encadrement insuffisant des producteurs ;</w:t>
            </w:r>
          </w:p>
          <w:p w:rsidR="00F86C10" w:rsidRPr="006973B5" w:rsidRDefault="00F86C10" w:rsidP="00F86C10">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 prix élevé des semences sélectionnées ;</w:t>
            </w:r>
          </w:p>
          <w:p w:rsidR="00F86C10" w:rsidRPr="006973B5" w:rsidRDefault="00F86C10" w:rsidP="00F86C10">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l’absence d’organisations de producteurs bien structurées ;</w:t>
            </w:r>
          </w:p>
          <w:p w:rsidR="00A5520B" w:rsidRPr="006973B5" w:rsidRDefault="00F86C10" w:rsidP="00F86C10">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 le manque d’information des producteurs sur les itinéraires techniques.</w:t>
            </w:r>
          </w:p>
        </w:tc>
        <w:tc>
          <w:tcPr>
            <w:tcW w:w="5039" w:type="dxa"/>
          </w:tcPr>
          <w:p w:rsidR="00F86C10" w:rsidRPr="006973B5" w:rsidRDefault="00F86C10" w:rsidP="00F86C10">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amélior</w:t>
            </w:r>
            <w:r w:rsidR="00903092" w:rsidRPr="006973B5">
              <w:rPr>
                <w:rFonts w:ascii="Times New Roman" w:hAnsi="Times New Roman" w:cs="Times New Roman"/>
                <w:sz w:val="20"/>
                <w:szCs w:val="24"/>
              </w:rPr>
              <w:t>er</w:t>
            </w:r>
            <w:r w:rsidRPr="006973B5">
              <w:rPr>
                <w:rFonts w:ascii="Times New Roman" w:hAnsi="Times New Roman" w:cs="Times New Roman"/>
                <w:sz w:val="20"/>
                <w:szCs w:val="24"/>
              </w:rPr>
              <w:t xml:space="preserve"> l’itinéraire technique de production notamment l’irrigation et l’appui/conseil ;</w:t>
            </w:r>
          </w:p>
          <w:p w:rsidR="00F86C10" w:rsidRPr="006973B5" w:rsidRDefault="00F86C10" w:rsidP="00F86C10">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amélior</w:t>
            </w:r>
            <w:r w:rsidR="00903092" w:rsidRPr="006973B5">
              <w:rPr>
                <w:rFonts w:ascii="Times New Roman" w:hAnsi="Times New Roman" w:cs="Times New Roman"/>
                <w:sz w:val="20"/>
                <w:szCs w:val="24"/>
              </w:rPr>
              <w:t>er le</w:t>
            </w:r>
            <w:r w:rsidRPr="006973B5">
              <w:rPr>
                <w:rFonts w:ascii="Times New Roman" w:hAnsi="Times New Roman" w:cs="Times New Roman"/>
                <w:sz w:val="20"/>
                <w:szCs w:val="24"/>
              </w:rPr>
              <w:t xml:space="preserve"> choix variétal à travers la diffusion de la variété « solo » ;</w:t>
            </w:r>
          </w:p>
          <w:p w:rsidR="00F86C10" w:rsidRPr="006973B5" w:rsidRDefault="00F86C10" w:rsidP="00F86C10">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renforce</w:t>
            </w:r>
            <w:r w:rsidR="00903092" w:rsidRPr="006973B5">
              <w:rPr>
                <w:rFonts w:ascii="Times New Roman" w:hAnsi="Times New Roman" w:cs="Times New Roman"/>
                <w:sz w:val="20"/>
                <w:szCs w:val="24"/>
              </w:rPr>
              <w:t>r le</w:t>
            </w:r>
            <w:r w:rsidRPr="006973B5">
              <w:rPr>
                <w:rFonts w:ascii="Times New Roman" w:hAnsi="Times New Roman" w:cs="Times New Roman"/>
                <w:sz w:val="20"/>
                <w:szCs w:val="24"/>
              </w:rPr>
              <w:t xml:space="preserve"> niveau de technicité des producteurs ;</w:t>
            </w:r>
          </w:p>
          <w:p w:rsidR="00F86C10" w:rsidRPr="006973B5" w:rsidRDefault="00903092" w:rsidP="00F86C10">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améliorer</w:t>
            </w:r>
            <w:r w:rsidR="00F86C10" w:rsidRPr="006973B5">
              <w:rPr>
                <w:rFonts w:ascii="Times New Roman" w:hAnsi="Times New Roman" w:cs="Times New Roman"/>
                <w:sz w:val="20"/>
                <w:szCs w:val="24"/>
              </w:rPr>
              <w:t xml:space="preserve"> l’encadrement des producteurs ;</w:t>
            </w:r>
          </w:p>
          <w:p w:rsidR="00F86C10" w:rsidRPr="006973B5" w:rsidRDefault="00F86C10" w:rsidP="00F86C10">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baisse</w:t>
            </w:r>
            <w:r w:rsidR="00903092" w:rsidRPr="006973B5">
              <w:rPr>
                <w:rFonts w:ascii="Times New Roman" w:hAnsi="Times New Roman" w:cs="Times New Roman"/>
                <w:sz w:val="20"/>
                <w:szCs w:val="24"/>
              </w:rPr>
              <w:t>r</w:t>
            </w:r>
            <w:r w:rsidRPr="006973B5">
              <w:rPr>
                <w:rFonts w:ascii="Times New Roman" w:hAnsi="Times New Roman" w:cs="Times New Roman"/>
                <w:sz w:val="20"/>
                <w:szCs w:val="24"/>
              </w:rPr>
              <w:t xml:space="preserve"> du prix des semences sélectionnées ;</w:t>
            </w:r>
          </w:p>
          <w:p w:rsidR="00A5520B" w:rsidRPr="006973B5" w:rsidRDefault="00F86C10" w:rsidP="00903092">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 renforce</w:t>
            </w:r>
            <w:r w:rsidR="00903092" w:rsidRPr="006973B5">
              <w:rPr>
                <w:rFonts w:ascii="Times New Roman" w:hAnsi="Times New Roman" w:cs="Times New Roman"/>
                <w:sz w:val="20"/>
                <w:szCs w:val="24"/>
              </w:rPr>
              <w:t>r</w:t>
            </w:r>
            <w:r w:rsidRPr="006973B5">
              <w:rPr>
                <w:rFonts w:ascii="Times New Roman" w:hAnsi="Times New Roman" w:cs="Times New Roman"/>
                <w:sz w:val="20"/>
                <w:szCs w:val="24"/>
              </w:rPr>
              <w:t xml:space="preserve"> l’organisation des producteurs</w:t>
            </w:r>
          </w:p>
        </w:tc>
      </w:tr>
      <w:tr w:rsidR="00A5520B" w:rsidRPr="006973B5" w:rsidTr="00B63674">
        <w:trPr>
          <w:trHeight w:val="176"/>
        </w:trPr>
        <w:tc>
          <w:tcPr>
            <w:tcW w:w="2289" w:type="dxa"/>
            <w:vMerge/>
          </w:tcPr>
          <w:p w:rsidR="00A5520B" w:rsidRPr="006973B5" w:rsidRDefault="00A5520B" w:rsidP="00DA1A89">
            <w:pPr>
              <w:autoSpaceDE w:val="0"/>
              <w:autoSpaceDN w:val="0"/>
              <w:adjustRightInd w:val="0"/>
              <w:spacing w:line="276" w:lineRule="auto"/>
              <w:jc w:val="both"/>
              <w:rPr>
                <w:rFonts w:ascii="Times New Roman" w:hAnsi="Times New Roman" w:cs="Times New Roman"/>
                <w:b/>
                <w:sz w:val="28"/>
                <w:szCs w:val="28"/>
              </w:rPr>
            </w:pPr>
          </w:p>
        </w:tc>
        <w:tc>
          <w:tcPr>
            <w:tcW w:w="1930" w:type="dxa"/>
          </w:tcPr>
          <w:p w:rsidR="00A5520B" w:rsidRPr="006973B5" w:rsidRDefault="00A5520B" w:rsidP="00DA1A89">
            <w:pPr>
              <w:autoSpaceDE w:val="0"/>
              <w:autoSpaceDN w:val="0"/>
              <w:adjustRightInd w:val="0"/>
              <w:spacing w:line="276" w:lineRule="auto"/>
              <w:jc w:val="both"/>
              <w:rPr>
                <w:rFonts w:ascii="Times New Roman" w:hAnsi="Times New Roman" w:cs="Times New Roman"/>
                <w:b/>
                <w:bCs/>
                <w:sz w:val="28"/>
                <w:szCs w:val="28"/>
              </w:rPr>
            </w:pPr>
            <w:r w:rsidRPr="006973B5">
              <w:rPr>
                <w:rFonts w:ascii="Times New Roman" w:hAnsi="Times New Roman" w:cs="Times New Roman"/>
                <w:sz w:val="20"/>
                <w:szCs w:val="20"/>
              </w:rPr>
              <w:t>Filière karité</w:t>
            </w:r>
          </w:p>
        </w:tc>
        <w:tc>
          <w:tcPr>
            <w:tcW w:w="1985" w:type="dxa"/>
          </w:tcPr>
          <w:p w:rsidR="0070766B" w:rsidRPr="006973B5" w:rsidRDefault="0070766B" w:rsidP="0070766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Le karité bénéficie de conditions naturelles favorables dans la région de Ségou et de réelles</w:t>
            </w:r>
          </w:p>
          <w:p w:rsidR="00A5520B" w:rsidRPr="006973B5" w:rsidRDefault="0070766B" w:rsidP="0070766B">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possibilités d’écoulement de la production au plan local, national et sous-régional.</w:t>
            </w:r>
          </w:p>
        </w:tc>
        <w:tc>
          <w:tcPr>
            <w:tcW w:w="3543" w:type="dxa"/>
          </w:tcPr>
          <w:p w:rsidR="0070766B" w:rsidRPr="006973B5" w:rsidRDefault="0070766B" w:rsidP="0070766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l’insuffisante vulgarisation des résultats de la recherche ;</w:t>
            </w:r>
          </w:p>
          <w:p w:rsidR="0070766B" w:rsidRPr="006973B5" w:rsidRDefault="0070766B" w:rsidP="0070766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mauvaise organisation des activités de ramassage des fruits ;</w:t>
            </w:r>
          </w:p>
          <w:p w:rsidR="0070766B" w:rsidRPr="006973B5" w:rsidRDefault="0070766B" w:rsidP="0070766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 prix d’achat faiblement rémunérateur pour les femmes ;</w:t>
            </w:r>
          </w:p>
          <w:p w:rsidR="0070766B" w:rsidRPr="006973B5" w:rsidRDefault="0070766B" w:rsidP="0070766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des méthodes de stockage/conservation des noix et amandes inadaptées ;</w:t>
            </w:r>
          </w:p>
          <w:p w:rsidR="00A5520B" w:rsidRPr="006973B5" w:rsidRDefault="0070766B" w:rsidP="0070766B">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 un faible niveau de transformation industrielle de l’amande de karité.</w:t>
            </w:r>
          </w:p>
        </w:tc>
        <w:tc>
          <w:tcPr>
            <w:tcW w:w="5039" w:type="dxa"/>
          </w:tcPr>
          <w:p w:rsidR="0070766B" w:rsidRPr="006973B5" w:rsidRDefault="0070766B" w:rsidP="0070766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amélior</w:t>
            </w:r>
            <w:r w:rsidR="00903092" w:rsidRPr="006973B5">
              <w:rPr>
                <w:rFonts w:ascii="Times New Roman" w:hAnsi="Times New Roman" w:cs="Times New Roman"/>
                <w:sz w:val="20"/>
                <w:szCs w:val="24"/>
              </w:rPr>
              <w:t>er</w:t>
            </w:r>
            <w:r w:rsidRPr="006973B5">
              <w:rPr>
                <w:rFonts w:ascii="Times New Roman" w:hAnsi="Times New Roman" w:cs="Times New Roman"/>
                <w:sz w:val="20"/>
                <w:szCs w:val="24"/>
              </w:rPr>
              <w:t xml:space="preserve"> </w:t>
            </w:r>
            <w:r w:rsidR="00903092" w:rsidRPr="006973B5">
              <w:rPr>
                <w:rFonts w:ascii="Times New Roman" w:hAnsi="Times New Roman" w:cs="Times New Roman"/>
                <w:sz w:val="20"/>
                <w:szCs w:val="24"/>
              </w:rPr>
              <w:t>l</w:t>
            </w:r>
            <w:r w:rsidRPr="006973B5">
              <w:rPr>
                <w:rFonts w:ascii="Times New Roman" w:hAnsi="Times New Roman" w:cs="Times New Roman"/>
                <w:sz w:val="20"/>
                <w:szCs w:val="24"/>
              </w:rPr>
              <w:t>es méthodes de stockage et de conservation des noix et amandes ;</w:t>
            </w:r>
          </w:p>
          <w:p w:rsidR="0070766B" w:rsidRPr="006973B5" w:rsidRDefault="00903092" w:rsidP="0070766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améliorer</w:t>
            </w:r>
            <w:r w:rsidR="0070766B" w:rsidRPr="006973B5">
              <w:rPr>
                <w:rFonts w:ascii="Times New Roman" w:hAnsi="Times New Roman" w:cs="Times New Roman"/>
                <w:sz w:val="20"/>
                <w:szCs w:val="24"/>
              </w:rPr>
              <w:t xml:space="preserve"> la technologie de production de beurre de karité ;</w:t>
            </w:r>
          </w:p>
          <w:p w:rsidR="0070766B" w:rsidRPr="006973B5" w:rsidRDefault="0070766B" w:rsidP="0070766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promo</w:t>
            </w:r>
            <w:r w:rsidR="00903092" w:rsidRPr="006973B5">
              <w:rPr>
                <w:rFonts w:ascii="Times New Roman" w:hAnsi="Times New Roman" w:cs="Times New Roman"/>
                <w:sz w:val="20"/>
                <w:szCs w:val="24"/>
              </w:rPr>
              <w:t>uvoir</w:t>
            </w:r>
            <w:r w:rsidRPr="006973B5">
              <w:rPr>
                <w:rFonts w:ascii="Times New Roman" w:hAnsi="Times New Roman" w:cs="Times New Roman"/>
                <w:sz w:val="20"/>
                <w:szCs w:val="24"/>
              </w:rPr>
              <w:t xml:space="preserve"> la vulgarisation des résultats de la recherche ;</w:t>
            </w:r>
          </w:p>
          <w:p w:rsidR="0070766B" w:rsidRPr="006973B5" w:rsidRDefault="0070766B" w:rsidP="0070766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promo</w:t>
            </w:r>
            <w:r w:rsidR="00903092" w:rsidRPr="006973B5">
              <w:rPr>
                <w:rFonts w:ascii="Times New Roman" w:hAnsi="Times New Roman" w:cs="Times New Roman"/>
                <w:sz w:val="20"/>
                <w:szCs w:val="24"/>
              </w:rPr>
              <w:t>uvoir</w:t>
            </w:r>
            <w:r w:rsidRPr="006973B5">
              <w:rPr>
                <w:rFonts w:ascii="Times New Roman" w:hAnsi="Times New Roman" w:cs="Times New Roman"/>
                <w:sz w:val="20"/>
                <w:szCs w:val="24"/>
              </w:rPr>
              <w:t xml:space="preserve"> la transformation industrielle de l’amande de karité ;</w:t>
            </w:r>
          </w:p>
          <w:p w:rsidR="00A5520B" w:rsidRPr="006973B5" w:rsidRDefault="0070766B" w:rsidP="00903092">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 intensifi</w:t>
            </w:r>
            <w:r w:rsidR="00903092" w:rsidRPr="006973B5">
              <w:rPr>
                <w:rFonts w:ascii="Times New Roman" w:hAnsi="Times New Roman" w:cs="Times New Roman"/>
                <w:sz w:val="20"/>
                <w:szCs w:val="24"/>
              </w:rPr>
              <w:t>er l</w:t>
            </w:r>
            <w:r w:rsidRPr="006973B5">
              <w:rPr>
                <w:rFonts w:ascii="Times New Roman" w:hAnsi="Times New Roman" w:cs="Times New Roman"/>
                <w:sz w:val="20"/>
                <w:szCs w:val="24"/>
              </w:rPr>
              <w:t>es activités de ramassage des amandes</w:t>
            </w:r>
          </w:p>
        </w:tc>
      </w:tr>
      <w:tr w:rsidR="00A5520B" w:rsidRPr="006973B5" w:rsidTr="00B63674">
        <w:trPr>
          <w:trHeight w:val="176"/>
        </w:trPr>
        <w:tc>
          <w:tcPr>
            <w:tcW w:w="2289" w:type="dxa"/>
            <w:vMerge w:val="restart"/>
          </w:tcPr>
          <w:p w:rsidR="00A5520B" w:rsidRPr="006973B5" w:rsidRDefault="00A5520B" w:rsidP="00DA1A89">
            <w:pPr>
              <w:autoSpaceDE w:val="0"/>
              <w:autoSpaceDN w:val="0"/>
              <w:adjustRightInd w:val="0"/>
              <w:spacing w:line="276" w:lineRule="auto"/>
              <w:jc w:val="both"/>
              <w:rPr>
                <w:rFonts w:ascii="Times New Roman" w:hAnsi="Times New Roman" w:cs="Times New Roman"/>
                <w:b/>
                <w:sz w:val="28"/>
                <w:szCs w:val="28"/>
              </w:rPr>
            </w:pPr>
            <w:r w:rsidRPr="006973B5">
              <w:rPr>
                <w:rFonts w:ascii="Times New Roman" w:hAnsi="Times New Roman" w:cs="Times New Roman"/>
                <w:b/>
                <w:bCs/>
              </w:rPr>
              <w:t>Maraîchage</w:t>
            </w:r>
          </w:p>
        </w:tc>
        <w:tc>
          <w:tcPr>
            <w:tcW w:w="1930" w:type="dxa"/>
          </w:tcPr>
          <w:p w:rsidR="00A5520B" w:rsidRPr="006973B5" w:rsidRDefault="00A5520B" w:rsidP="00DA1A89">
            <w:pPr>
              <w:autoSpaceDE w:val="0"/>
              <w:autoSpaceDN w:val="0"/>
              <w:adjustRightInd w:val="0"/>
              <w:spacing w:line="276" w:lineRule="auto"/>
              <w:jc w:val="both"/>
              <w:rPr>
                <w:rFonts w:ascii="Times New Roman" w:hAnsi="Times New Roman" w:cs="Times New Roman"/>
                <w:b/>
                <w:bCs/>
                <w:sz w:val="28"/>
                <w:szCs w:val="28"/>
              </w:rPr>
            </w:pPr>
            <w:r w:rsidRPr="006973B5">
              <w:rPr>
                <w:rFonts w:ascii="Times New Roman" w:hAnsi="Times New Roman" w:cs="Times New Roman"/>
                <w:sz w:val="20"/>
                <w:szCs w:val="20"/>
              </w:rPr>
              <w:t>Filière pomme de terre</w:t>
            </w:r>
          </w:p>
        </w:tc>
        <w:tc>
          <w:tcPr>
            <w:tcW w:w="1985" w:type="dxa"/>
          </w:tcPr>
          <w:p w:rsidR="008D6517" w:rsidRPr="006973B5" w:rsidRDefault="008D6517" w:rsidP="008D651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la disponibilité de terres surtout pour la culture en contre-saison ;</w:t>
            </w:r>
          </w:p>
          <w:p w:rsidR="008D6517" w:rsidRPr="006973B5" w:rsidRDefault="008D6517" w:rsidP="008D651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présence d’un marché local, national et sous-</w:t>
            </w:r>
            <w:r w:rsidRPr="006973B5">
              <w:rPr>
                <w:rFonts w:ascii="Times New Roman" w:hAnsi="Times New Roman" w:cs="Times New Roman"/>
                <w:sz w:val="20"/>
                <w:szCs w:val="24"/>
              </w:rPr>
              <w:lastRenderedPageBreak/>
              <w:t>régional (Côte d’Ivoire, Sénégal et</w:t>
            </w:r>
          </w:p>
          <w:p w:rsidR="00A5520B" w:rsidRPr="006973B5" w:rsidRDefault="008D6517" w:rsidP="008D651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Mauritanie).</w:t>
            </w:r>
          </w:p>
        </w:tc>
        <w:tc>
          <w:tcPr>
            <w:tcW w:w="3543" w:type="dxa"/>
          </w:tcPr>
          <w:p w:rsidR="008D6517" w:rsidRPr="006973B5" w:rsidRDefault="008D6517" w:rsidP="008D651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le coût élevé des intrants (semences et engrais) ;</w:t>
            </w:r>
          </w:p>
          <w:p w:rsidR="008D6517" w:rsidRPr="006973B5" w:rsidRDefault="008D6517" w:rsidP="008D651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les difficultés d’approvisionnement en intrants ;</w:t>
            </w:r>
          </w:p>
          <w:p w:rsidR="008D6517" w:rsidRPr="006973B5" w:rsidRDefault="008D6517" w:rsidP="008D651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l’absence d’un encadrement spécialisé en matière de production de pommes de terre ;</w:t>
            </w:r>
          </w:p>
          <w:p w:rsidR="008D6517" w:rsidRPr="006973B5" w:rsidRDefault="008D6517" w:rsidP="008D651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 l’insuffisance d’infrastructures de stockage appropriées ;</w:t>
            </w:r>
          </w:p>
          <w:p w:rsidR="00A5520B" w:rsidRPr="006973B5" w:rsidRDefault="008D6517" w:rsidP="008D651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faible maîtrise des techniques de récolte, stockage et conservation par les producteurs</w:t>
            </w:r>
          </w:p>
        </w:tc>
        <w:tc>
          <w:tcPr>
            <w:tcW w:w="5039" w:type="dxa"/>
          </w:tcPr>
          <w:p w:rsidR="00280FFA" w:rsidRPr="006973B5" w:rsidRDefault="006637DB" w:rsidP="00280FF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 xml:space="preserve">- </w:t>
            </w:r>
            <w:r w:rsidR="00903092" w:rsidRPr="006973B5">
              <w:rPr>
                <w:rFonts w:ascii="Times New Roman" w:hAnsi="Times New Roman" w:cs="Times New Roman"/>
                <w:sz w:val="20"/>
                <w:szCs w:val="24"/>
              </w:rPr>
              <w:t>améliorer</w:t>
            </w:r>
            <w:r w:rsidR="00280FFA" w:rsidRPr="006973B5">
              <w:rPr>
                <w:rFonts w:ascii="Times New Roman" w:hAnsi="Times New Roman" w:cs="Times New Roman"/>
                <w:sz w:val="20"/>
                <w:szCs w:val="24"/>
              </w:rPr>
              <w:t xml:space="preserve"> la production et de la disponibilité de la pomme de terre pendant toute l’année ;</w:t>
            </w:r>
          </w:p>
          <w:p w:rsidR="00280FFA" w:rsidRPr="006973B5" w:rsidRDefault="00903092" w:rsidP="00280FF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former l</w:t>
            </w:r>
            <w:r w:rsidR="00280FFA" w:rsidRPr="006973B5">
              <w:rPr>
                <w:rFonts w:ascii="Times New Roman" w:hAnsi="Times New Roman" w:cs="Times New Roman"/>
                <w:sz w:val="20"/>
                <w:szCs w:val="24"/>
              </w:rPr>
              <w:t>es producteurs en techniques améliorées de production ;</w:t>
            </w:r>
          </w:p>
          <w:p w:rsidR="00280FFA" w:rsidRPr="006973B5" w:rsidRDefault="00280FFA" w:rsidP="00280FF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promo</w:t>
            </w:r>
            <w:r w:rsidR="00903092" w:rsidRPr="006973B5">
              <w:rPr>
                <w:rFonts w:ascii="Times New Roman" w:hAnsi="Times New Roman" w:cs="Times New Roman"/>
                <w:sz w:val="20"/>
                <w:szCs w:val="24"/>
              </w:rPr>
              <w:t>uvoir une</w:t>
            </w:r>
            <w:r w:rsidRPr="006973B5">
              <w:rPr>
                <w:rFonts w:ascii="Times New Roman" w:hAnsi="Times New Roman" w:cs="Times New Roman"/>
                <w:sz w:val="20"/>
                <w:szCs w:val="24"/>
              </w:rPr>
              <w:t xml:space="preserve"> meilleure organisation des producteurs ;</w:t>
            </w:r>
          </w:p>
          <w:p w:rsidR="00280FFA" w:rsidRPr="006973B5" w:rsidRDefault="00903092" w:rsidP="00280FF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soutenir le</w:t>
            </w:r>
            <w:r w:rsidR="00280FFA" w:rsidRPr="006973B5">
              <w:rPr>
                <w:rFonts w:ascii="Times New Roman" w:hAnsi="Times New Roman" w:cs="Times New Roman"/>
                <w:sz w:val="20"/>
                <w:szCs w:val="24"/>
              </w:rPr>
              <w:t xml:space="preserve"> programme de recherche sur la production locale de semences de pommes de terre ;</w:t>
            </w:r>
          </w:p>
          <w:p w:rsidR="00280FFA" w:rsidRPr="006973B5" w:rsidRDefault="00280FFA" w:rsidP="00280FF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 poursui</w:t>
            </w:r>
            <w:r w:rsidR="00903092" w:rsidRPr="006973B5">
              <w:rPr>
                <w:rFonts w:ascii="Times New Roman" w:hAnsi="Times New Roman" w:cs="Times New Roman"/>
                <w:sz w:val="20"/>
                <w:szCs w:val="24"/>
              </w:rPr>
              <w:t>vre</w:t>
            </w:r>
            <w:r w:rsidRPr="006973B5">
              <w:rPr>
                <w:rFonts w:ascii="Times New Roman" w:hAnsi="Times New Roman" w:cs="Times New Roman"/>
                <w:sz w:val="20"/>
                <w:szCs w:val="24"/>
              </w:rPr>
              <w:t xml:space="preserve"> la vulgarisation de systèmes de stockage adaptés ;</w:t>
            </w:r>
          </w:p>
          <w:p w:rsidR="00A5520B" w:rsidRPr="006973B5" w:rsidRDefault="00280FFA" w:rsidP="00903092">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w:t>
            </w:r>
            <w:r w:rsidR="00903092" w:rsidRPr="006973B5">
              <w:rPr>
                <w:rFonts w:ascii="Times New Roman" w:hAnsi="Times New Roman" w:cs="Times New Roman"/>
                <w:sz w:val="20"/>
                <w:szCs w:val="24"/>
              </w:rPr>
              <w:t xml:space="preserve">mettre en place des </w:t>
            </w:r>
            <w:r w:rsidRPr="006973B5">
              <w:rPr>
                <w:rFonts w:ascii="Times New Roman" w:hAnsi="Times New Roman" w:cs="Times New Roman"/>
                <w:sz w:val="20"/>
                <w:szCs w:val="24"/>
              </w:rPr>
              <w:t>unités de transformation semi-industrielle de pommes de terre.</w:t>
            </w:r>
          </w:p>
        </w:tc>
      </w:tr>
      <w:tr w:rsidR="00A5520B" w:rsidRPr="006973B5" w:rsidTr="00B63674">
        <w:trPr>
          <w:trHeight w:val="176"/>
        </w:trPr>
        <w:tc>
          <w:tcPr>
            <w:tcW w:w="2289" w:type="dxa"/>
            <w:vMerge/>
          </w:tcPr>
          <w:p w:rsidR="00A5520B" w:rsidRPr="006973B5" w:rsidRDefault="00A5520B" w:rsidP="00DA1A89">
            <w:pPr>
              <w:autoSpaceDE w:val="0"/>
              <w:autoSpaceDN w:val="0"/>
              <w:adjustRightInd w:val="0"/>
              <w:spacing w:line="276" w:lineRule="auto"/>
              <w:jc w:val="both"/>
              <w:rPr>
                <w:rFonts w:ascii="Times New Roman" w:hAnsi="Times New Roman" w:cs="Times New Roman"/>
                <w:b/>
                <w:bCs/>
              </w:rPr>
            </w:pPr>
          </w:p>
        </w:tc>
        <w:tc>
          <w:tcPr>
            <w:tcW w:w="1930" w:type="dxa"/>
          </w:tcPr>
          <w:p w:rsidR="00A5520B" w:rsidRPr="006973B5" w:rsidRDefault="00A5520B" w:rsidP="00DA1A89">
            <w:pPr>
              <w:autoSpaceDE w:val="0"/>
              <w:autoSpaceDN w:val="0"/>
              <w:adjustRightInd w:val="0"/>
              <w:spacing w:line="276" w:lineRule="auto"/>
              <w:jc w:val="both"/>
              <w:rPr>
                <w:rFonts w:ascii="Times New Roman" w:hAnsi="Times New Roman" w:cs="Times New Roman"/>
                <w:sz w:val="20"/>
                <w:szCs w:val="20"/>
              </w:rPr>
            </w:pPr>
            <w:r w:rsidRPr="006973B5">
              <w:rPr>
                <w:rFonts w:ascii="Times New Roman" w:hAnsi="Times New Roman" w:cs="Times New Roman"/>
                <w:sz w:val="20"/>
                <w:szCs w:val="20"/>
              </w:rPr>
              <w:t>Filière haricot vert</w:t>
            </w:r>
          </w:p>
        </w:tc>
        <w:tc>
          <w:tcPr>
            <w:tcW w:w="1985" w:type="dxa"/>
          </w:tcPr>
          <w:p w:rsidR="0059022B" w:rsidRPr="006973B5" w:rsidRDefault="0059022B" w:rsidP="0059022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créneau porteur à l’exportation ;</w:t>
            </w:r>
          </w:p>
          <w:p w:rsidR="0059022B" w:rsidRPr="006973B5" w:rsidRDefault="0059022B" w:rsidP="0059022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conditions agro-climatiques favorables ;</w:t>
            </w:r>
          </w:p>
          <w:p w:rsidR="00A5520B" w:rsidRPr="006973B5" w:rsidRDefault="0059022B" w:rsidP="0059022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important potentiel en terres irriguées</w:t>
            </w:r>
          </w:p>
        </w:tc>
        <w:tc>
          <w:tcPr>
            <w:tcW w:w="3543" w:type="dxa"/>
          </w:tcPr>
          <w:p w:rsidR="006E2FBC" w:rsidRPr="006973B5" w:rsidRDefault="006E2FBC" w:rsidP="006E2FB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les techniques culturales peu maîtrisées </w:t>
            </w:r>
          </w:p>
          <w:p w:rsidR="006E2FBC" w:rsidRPr="006973B5" w:rsidRDefault="006E2FBC" w:rsidP="006E2FB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faiblesse du pouvoir de négociation des opérateurs à l’exportation ;</w:t>
            </w:r>
          </w:p>
          <w:p w:rsidR="006E2FBC" w:rsidRPr="006973B5" w:rsidRDefault="006E2FBC" w:rsidP="006E2FB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des équipements de conditionnement et de logistique de froid insuffisants et inadéquats ;</w:t>
            </w:r>
          </w:p>
          <w:p w:rsidR="006E2FBC" w:rsidRPr="006973B5" w:rsidRDefault="006E2FBC" w:rsidP="006E2FB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l’absence de structure interprofessionnelle ;</w:t>
            </w:r>
          </w:p>
          <w:p w:rsidR="00A5520B" w:rsidRPr="006973B5" w:rsidRDefault="006E2FBC" w:rsidP="006E2FB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faiblesse des moyens humains et matériels des opérateurs et de leur position de négociation vis-à-vis des transporteurs et des clients</w:t>
            </w:r>
          </w:p>
          <w:p w:rsidR="006E2FBC" w:rsidRPr="006973B5" w:rsidRDefault="006E2FBC" w:rsidP="006E2FB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l’insuffisance de l’encadrement des producteurs ;</w:t>
            </w:r>
          </w:p>
          <w:p w:rsidR="006E2FBC" w:rsidRPr="006973B5" w:rsidRDefault="006E2FBC" w:rsidP="006E2FB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l’insuffisante organisation des producteurs ;</w:t>
            </w:r>
          </w:p>
          <w:p w:rsidR="006E2FBC" w:rsidRPr="006973B5" w:rsidRDefault="006E2FBC" w:rsidP="006E2FB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l’insuffisante maîtrise des systèmes de production ;</w:t>
            </w:r>
          </w:p>
          <w:p w:rsidR="006E2FBC" w:rsidRPr="006973B5" w:rsidRDefault="006E2FBC" w:rsidP="006E2FB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les difficultés d’approvisionnement des producteurs en intrants de qualité ;</w:t>
            </w:r>
          </w:p>
          <w:p w:rsidR="006E2FBC" w:rsidRPr="006973B5" w:rsidRDefault="006E2FBC" w:rsidP="006E2FB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l’insuffisance des équipements de conditionnement et de la logistique ;</w:t>
            </w:r>
          </w:p>
          <w:p w:rsidR="006E2FBC" w:rsidRPr="006973B5" w:rsidRDefault="006E2FBC" w:rsidP="006E2FB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difficile traçabilité du produit à cause du manque d’organisation des producteurs et de la crise de confiance entre producteurs et exportateurs</w:t>
            </w:r>
          </w:p>
        </w:tc>
        <w:tc>
          <w:tcPr>
            <w:tcW w:w="5039" w:type="dxa"/>
          </w:tcPr>
          <w:p w:rsidR="00A21B2A" w:rsidRPr="006973B5" w:rsidRDefault="00A21B2A" w:rsidP="00A21B2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amélior</w:t>
            </w:r>
            <w:r w:rsidR="00903092" w:rsidRPr="006973B5">
              <w:rPr>
                <w:rFonts w:ascii="Times New Roman" w:hAnsi="Times New Roman" w:cs="Times New Roman"/>
                <w:sz w:val="20"/>
                <w:szCs w:val="24"/>
              </w:rPr>
              <w:t>er</w:t>
            </w:r>
            <w:r w:rsidRPr="006973B5">
              <w:rPr>
                <w:rFonts w:ascii="Times New Roman" w:hAnsi="Times New Roman" w:cs="Times New Roman"/>
                <w:sz w:val="20"/>
                <w:szCs w:val="24"/>
              </w:rPr>
              <w:t xml:space="preserve"> l’itinéraire technique de production et de l’appui/conseil ;</w:t>
            </w:r>
          </w:p>
          <w:p w:rsidR="00A21B2A" w:rsidRPr="006973B5" w:rsidRDefault="00A21B2A" w:rsidP="00A21B2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modernis</w:t>
            </w:r>
            <w:r w:rsidR="00903092" w:rsidRPr="006973B5">
              <w:rPr>
                <w:rFonts w:ascii="Times New Roman" w:hAnsi="Times New Roman" w:cs="Times New Roman"/>
                <w:sz w:val="20"/>
                <w:szCs w:val="24"/>
              </w:rPr>
              <w:t>er l</w:t>
            </w:r>
            <w:r w:rsidRPr="006973B5">
              <w:rPr>
                <w:rFonts w:ascii="Times New Roman" w:hAnsi="Times New Roman" w:cs="Times New Roman"/>
                <w:sz w:val="20"/>
                <w:szCs w:val="24"/>
              </w:rPr>
              <w:t>es techniques d’irrigation ;</w:t>
            </w:r>
          </w:p>
          <w:p w:rsidR="00A21B2A" w:rsidRPr="006973B5" w:rsidRDefault="00903092" w:rsidP="00A21B2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diffuser les</w:t>
            </w:r>
            <w:r w:rsidR="00A21B2A" w:rsidRPr="006973B5">
              <w:rPr>
                <w:rFonts w:ascii="Times New Roman" w:hAnsi="Times New Roman" w:cs="Times New Roman"/>
                <w:sz w:val="20"/>
                <w:szCs w:val="24"/>
              </w:rPr>
              <w:t xml:space="preserve"> techniques appropriées de protection des cultures ;</w:t>
            </w:r>
          </w:p>
          <w:p w:rsidR="00A21B2A" w:rsidRPr="006973B5" w:rsidRDefault="00A21B2A" w:rsidP="00A21B2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maîtrise</w:t>
            </w:r>
            <w:r w:rsidR="00903092" w:rsidRPr="006973B5">
              <w:rPr>
                <w:rFonts w:ascii="Times New Roman" w:hAnsi="Times New Roman" w:cs="Times New Roman"/>
                <w:sz w:val="20"/>
                <w:szCs w:val="24"/>
              </w:rPr>
              <w:t>r</w:t>
            </w:r>
            <w:r w:rsidRPr="006973B5">
              <w:rPr>
                <w:rFonts w:ascii="Times New Roman" w:hAnsi="Times New Roman" w:cs="Times New Roman"/>
                <w:sz w:val="20"/>
                <w:szCs w:val="24"/>
              </w:rPr>
              <w:t xml:space="preserve"> </w:t>
            </w:r>
            <w:r w:rsidR="00903092" w:rsidRPr="006973B5">
              <w:rPr>
                <w:rFonts w:ascii="Times New Roman" w:hAnsi="Times New Roman" w:cs="Times New Roman"/>
                <w:sz w:val="20"/>
                <w:szCs w:val="24"/>
              </w:rPr>
              <w:t>l</w:t>
            </w:r>
            <w:r w:rsidRPr="006973B5">
              <w:rPr>
                <w:rFonts w:ascii="Times New Roman" w:hAnsi="Times New Roman" w:cs="Times New Roman"/>
                <w:sz w:val="20"/>
                <w:szCs w:val="24"/>
              </w:rPr>
              <w:t>es techniques culturales et des systèmes de production par les producteurs ;</w:t>
            </w:r>
          </w:p>
          <w:p w:rsidR="00A21B2A" w:rsidRPr="006973B5" w:rsidRDefault="00A21B2A" w:rsidP="00A21B2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renforce</w:t>
            </w:r>
            <w:r w:rsidR="00903092" w:rsidRPr="006973B5">
              <w:rPr>
                <w:rFonts w:ascii="Times New Roman" w:hAnsi="Times New Roman" w:cs="Times New Roman"/>
                <w:sz w:val="20"/>
                <w:szCs w:val="24"/>
              </w:rPr>
              <w:t>r le</w:t>
            </w:r>
            <w:r w:rsidRPr="006973B5">
              <w:rPr>
                <w:rFonts w:ascii="Times New Roman" w:hAnsi="Times New Roman" w:cs="Times New Roman"/>
                <w:sz w:val="20"/>
                <w:szCs w:val="24"/>
              </w:rPr>
              <w:t xml:space="preserve"> pouvoir de négociation des opérateurs à l’exportation ;</w:t>
            </w:r>
          </w:p>
          <w:p w:rsidR="00A21B2A" w:rsidRPr="006973B5" w:rsidRDefault="00A21B2A" w:rsidP="00A21B2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renforce</w:t>
            </w:r>
            <w:r w:rsidR="00903092" w:rsidRPr="006973B5">
              <w:rPr>
                <w:rFonts w:ascii="Times New Roman" w:hAnsi="Times New Roman" w:cs="Times New Roman"/>
                <w:sz w:val="20"/>
                <w:szCs w:val="24"/>
              </w:rPr>
              <w:t>r</w:t>
            </w:r>
            <w:r w:rsidRPr="006973B5">
              <w:rPr>
                <w:rFonts w:ascii="Times New Roman" w:hAnsi="Times New Roman" w:cs="Times New Roman"/>
                <w:sz w:val="20"/>
                <w:szCs w:val="24"/>
              </w:rPr>
              <w:t xml:space="preserve"> du parc d’équipements de conditionnement et de logistique de froid ;</w:t>
            </w:r>
          </w:p>
          <w:p w:rsidR="00A21B2A" w:rsidRPr="006973B5" w:rsidRDefault="00A21B2A" w:rsidP="00A21B2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amélior</w:t>
            </w:r>
            <w:r w:rsidR="00903092" w:rsidRPr="006973B5">
              <w:rPr>
                <w:rFonts w:ascii="Times New Roman" w:hAnsi="Times New Roman" w:cs="Times New Roman"/>
                <w:sz w:val="20"/>
                <w:szCs w:val="24"/>
              </w:rPr>
              <w:t>er</w:t>
            </w:r>
            <w:r w:rsidRPr="006973B5">
              <w:rPr>
                <w:rFonts w:ascii="Times New Roman" w:hAnsi="Times New Roman" w:cs="Times New Roman"/>
                <w:sz w:val="20"/>
                <w:szCs w:val="24"/>
              </w:rPr>
              <w:t xml:space="preserve"> de l’organisation des producteurs ;</w:t>
            </w:r>
          </w:p>
          <w:p w:rsidR="00A21B2A" w:rsidRPr="006973B5" w:rsidRDefault="00A21B2A" w:rsidP="00A21B2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renforce</w:t>
            </w:r>
            <w:r w:rsidR="00903092" w:rsidRPr="006973B5">
              <w:rPr>
                <w:rFonts w:ascii="Times New Roman" w:hAnsi="Times New Roman" w:cs="Times New Roman"/>
                <w:sz w:val="20"/>
                <w:szCs w:val="24"/>
              </w:rPr>
              <w:t>r l</w:t>
            </w:r>
            <w:r w:rsidRPr="006973B5">
              <w:rPr>
                <w:rFonts w:ascii="Times New Roman" w:hAnsi="Times New Roman" w:cs="Times New Roman"/>
                <w:sz w:val="20"/>
                <w:szCs w:val="24"/>
              </w:rPr>
              <w:t>es moyens humains et matériels des opérateurs et de leur position de négociation vis-à-vis des transporteurs et des clients ;</w:t>
            </w:r>
          </w:p>
          <w:p w:rsidR="00A21B2A" w:rsidRPr="006973B5" w:rsidRDefault="00A21B2A" w:rsidP="00A21B2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amélior</w:t>
            </w:r>
            <w:r w:rsidR="00903092" w:rsidRPr="006973B5">
              <w:rPr>
                <w:rFonts w:ascii="Times New Roman" w:hAnsi="Times New Roman" w:cs="Times New Roman"/>
                <w:sz w:val="20"/>
                <w:szCs w:val="24"/>
              </w:rPr>
              <w:t>er</w:t>
            </w:r>
            <w:r w:rsidRPr="006973B5">
              <w:rPr>
                <w:rFonts w:ascii="Times New Roman" w:hAnsi="Times New Roman" w:cs="Times New Roman"/>
                <w:sz w:val="20"/>
                <w:szCs w:val="24"/>
              </w:rPr>
              <w:t xml:space="preserve"> l’encadrement des producteurs ;</w:t>
            </w:r>
          </w:p>
          <w:p w:rsidR="00A21B2A" w:rsidRPr="006973B5" w:rsidRDefault="00A21B2A" w:rsidP="00A21B2A">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amélior</w:t>
            </w:r>
            <w:r w:rsidR="00903092" w:rsidRPr="006973B5">
              <w:rPr>
                <w:rFonts w:ascii="Times New Roman" w:hAnsi="Times New Roman" w:cs="Times New Roman"/>
                <w:sz w:val="20"/>
                <w:szCs w:val="24"/>
              </w:rPr>
              <w:t>er</w:t>
            </w:r>
            <w:r w:rsidRPr="006973B5">
              <w:rPr>
                <w:rFonts w:ascii="Times New Roman" w:hAnsi="Times New Roman" w:cs="Times New Roman"/>
                <w:sz w:val="20"/>
                <w:szCs w:val="24"/>
              </w:rPr>
              <w:t xml:space="preserve"> de l’approvisionnement des producteurs en intrants de qualité ;</w:t>
            </w:r>
          </w:p>
          <w:p w:rsidR="00A5520B" w:rsidRPr="006973B5" w:rsidRDefault="00A21B2A" w:rsidP="00903092">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renforce</w:t>
            </w:r>
            <w:r w:rsidR="00903092" w:rsidRPr="006973B5">
              <w:rPr>
                <w:rFonts w:ascii="Times New Roman" w:hAnsi="Times New Roman" w:cs="Times New Roman"/>
                <w:sz w:val="20"/>
                <w:szCs w:val="24"/>
              </w:rPr>
              <w:t xml:space="preserve">r </w:t>
            </w:r>
            <w:r w:rsidRPr="006973B5">
              <w:rPr>
                <w:rFonts w:ascii="Times New Roman" w:hAnsi="Times New Roman" w:cs="Times New Roman"/>
                <w:sz w:val="20"/>
                <w:szCs w:val="24"/>
              </w:rPr>
              <w:t>des équipements de conditionnement et de la logistique</w:t>
            </w:r>
          </w:p>
        </w:tc>
      </w:tr>
      <w:tr w:rsidR="00A5520B" w:rsidRPr="006973B5" w:rsidTr="00B63674">
        <w:trPr>
          <w:trHeight w:val="176"/>
        </w:trPr>
        <w:tc>
          <w:tcPr>
            <w:tcW w:w="2289" w:type="dxa"/>
            <w:vMerge/>
          </w:tcPr>
          <w:p w:rsidR="00A5520B" w:rsidRPr="006973B5" w:rsidRDefault="00A5520B" w:rsidP="00DA1A89">
            <w:pPr>
              <w:autoSpaceDE w:val="0"/>
              <w:autoSpaceDN w:val="0"/>
              <w:adjustRightInd w:val="0"/>
              <w:spacing w:line="276" w:lineRule="auto"/>
              <w:jc w:val="both"/>
              <w:rPr>
                <w:rFonts w:ascii="Times New Roman" w:hAnsi="Times New Roman" w:cs="Times New Roman"/>
                <w:b/>
                <w:bCs/>
              </w:rPr>
            </w:pPr>
          </w:p>
        </w:tc>
        <w:tc>
          <w:tcPr>
            <w:tcW w:w="1930" w:type="dxa"/>
          </w:tcPr>
          <w:p w:rsidR="00A5520B" w:rsidRPr="006973B5" w:rsidRDefault="00A5520B" w:rsidP="00DA1A89">
            <w:pPr>
              <w:autoSpaceDE w:val="0"/>
              <w:autoSpaceDN w:val="0"/>
              <w:adjustRightInd w:val="0"/>
              <w:spacing w:line="276" w:lineRule="auto"/>
              <w:jc w:val="both"/>
              <w:rPr>
                <w:rFonts w:ascii="Times New Roman" w:hAnsi="Times New Roman" w:cs="Times New Roman"/>
                <w:sz w:val="20"/>
                <w:szCs w:val="20"/>
              </w:rPr>
            </w:pPr>
            <w:r w:rsidRPr="006973B5">
              <w:rPr>
                <w:rFonts w:ascii="Times New Roman" w:hAnsi="Times New Roman" w:cs="Times New Roman"/>
                <w:sz w:val="20"/>
                <w:szCs w:val="20"/>
              </w:rPr>
              <w:t>Filière oignon/échalote</w:t>
            </w:r>
          </w:p>
        </w:tc>
        <w:tc>
          <w:tcPr>
            <w:tcW w:w="1985" w:type="dxa"/>
          </w:tcPr>
          <w:p w:rsidR="00554B90" w:rsidRPr="006973B5" w:rsidRDefault="00554B90" w:rsidP="00554B90">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un produit compétitif grâce à son coût de production inférieur </w:t>
            </w:r>
            <w:r w:rsidRPr="006973B5">
              <w:rPr>
                <w:rFonts w:ascii="Times New Roman" w:hAnsi="Times New Roman" w:cs="Times New Roman"/>
                <w:sz w:val="20"/>
                <w:szCs w:val="24"/>
              </w:rPr>
              <w:lastRenderedPageBreak/>
              <w:t>de 25% par rapport aux</w:t>
            </w:r>
            <w:r w:rsidR="00414FE7" w:rsidRPr="006973B5">
              <w:rPr>
                <w:rFonts w:ascii="Times New Roman" w:hAnsi="Times New Roman" w:cs="Times New Roman"/>
                <w:sz w:val="20"/>
                <w:szCs w:val="24"/>
              </w:rPr>
              <w:t xml:space="preserve"> </w:t>
            </w:r>
            <w:r w:rsidRPr="006973B5">
              <w:rPr>
                <w:rFonts w:ascii="Times New Roman" w:hAnsi="Times New Roman" w:cs="Times New Roman"/>
                <w:sz w:val="20"/>
                <w:szCs w:val="24"/>
              </w:rPr>
              <w:t>pays voisins ;</w:t>
            </w:r>
          </w:p>
          <w:p w:rsidR="00554B90" w:rsidRPr="006973B5" w:rsidRDefault="00554B90" w:rsidP="00554B90">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l’existence d’un potentiel </w:t>
            </w:r>
            <w:r w:rsidR="00414FE7" w:rsidRPr="006973B5">
              <w:rPr>
                <w:rFonts w:ascii="Times New Roman" w:hAnsi="Times New Roman" w:cs="Times New Roman"/>
                <w:sz w:val="20"/>
                <w:szCs w:val="24"/>
              </w:rPr>
              <w:t>d</w:t>
            </w:r>
            <w:r w:rsidRPr="006973B5">
              <w:rPr>
                <w:rFonts w:ascii="Times New Roman" w:hAnsi="Times New Roman" w:cs="Times New Roman"/>
                <w:sz w:val="20"/>
                <w:szCs w:val="24"/>
              </w:rPr>
              <w:t>’exportation dans la sous-région ;</w:t>
            </w:r>
          </w:p>
          <w:p w:rsidR="00414FE7" w:rsidRPr="006973B5" w:rsidRDefault="00554B90" w:rsidP="00414FE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la présence de projets et programmes pour la promotion des filières agricoles </w:t>
            </w:r>
          </w:p>
          <w:p w:rsidR="00A5520B" w:rsidRPr="006973B5" w:rsidRDefault="00A5520B" w:rsidP="00554B90">
            <w:pPr>
              <w:autoSpaceDE w:val="0"/>
              <w:autoSpaceDN w:val="0"/>
              <w:adjustRightInd w:val="0"/>
              <w:rPr>
                <w:rFonts w:ascii="Times New Roman" w:hAnsi="Times New Roman" w:cs="Times New Roman"/>
                <w:sz w:val="20"/>
                <w:szCs w:val="24"/>
              </w:rPr>
            </w:pPr>
          </w:p>
        </w:tc>
        <w:tc>
          <w:tcPr>
            <w:tcW w:w="3543" w:type="dxa"/>
          </w:tcPr>
          <w:p w:rsidR="00414FE7" w:rsidRPr="006973B5" w:rsidRDefault="00414FE7" w:rsidP="00414FE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 l’enclavement et l’éloignement des sites de production par rapport aux marchés</w:t>
            </w:r>
          </w:p>
          <w:p w:rsidR="00414FE7" w:rsidRPr="006973B5" w:rsidRDefault="00414FE7" w:rsidP="00414FE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d’écoulement ;</w:t>
            </w:r>
          </w:p>
          <w:p w:rsidR="00414FE7" w:rsidRPr="006973B5" w:rsidRDefault="00414FE7" w:rsidP="00414FE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 l’étroitesse des superficies cultivées par exploitation (0,5 ha en moyenne dans la zone Office du Niger, moins de 0,3 ha hors casiers rizicoles) ;</w:t>
            </w:r>
          </w:p>
          <w:p w:rsidR="00414FE7" w:rsidRPr="006973B5" w:rsidRDefault="00414FE7" w:rsidP="00414FE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l’envasement des petits barrages pour le pays Dogon ;</w:t>
            </w:r>
          </w:p>
          <w:p w:rsidR="00414FE7" w:rsidRPr="006973B5" w:rsidRDefault="00414FE7" w:rsidP="00414FE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l’accès difficile des producteurs au financement ;</w:t>
            </w:r>
          </w:p>
          <w:p w:rsidR="00414FE7" w:rsidRPr="006973B5" w:rsidRDefault="00414FE7" w:rsidP="00414FE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le faible développement du stockage et de la transformation en raison du problème technique des pertes encourues </w:t>
            </w:r>
          </w:p>
          <w:p w:rsidR="00A5520B" w:rsidRPr="006973B5" w:rsidRDefault="00414FE7" w:rsidP="00414FE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l’insuffisante organisation des acteurs.</w:t>
            </w:r>
          </w:p>
        </w:tc>
        <w:tc>
          <w:tcPr>
            <w:tcW w:w="5039" w:type="dxa"/>
          </w:tcPr>
          <w:p w:rsidR="00414FE7" w:rsidRPr="006973B5" w:rsidRDefault="00414FE7" w:rsidP="00414FE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 désenclave</w:t>
            </w:r>
            <w:r w:rsidR="00903092" w:rsidRPr="006973B5">
              <w:rPr>
                <w:rFonts w:ascii="Times New Roman" w:hAnsi="Times New Roman" w:cs="Times New Roman"/>
                <w:sz w:val="20"/>
                <w:szCs w:val="24"/>
              </w:rPr>
              <w:t>r l</w:t>
            </w:r>
            <w:r w:rsidRPr="006973B5">
              <w:rPr>
                <w:rFonts w:ascii="Times New Roman" w:hAnsi="Times New Roman" w:cs="Times New Roman"/>
                <w:sz w:val="20"/>
                <w:szCs w:val="24"/>
              </w:rPr>
              <w:t>es sites de production ;</w:t>
            </w:r>
          </w:p>
          <w:p w:rsidR="00414FE7" w:rsidRPr="006973B5" w:rsidRDefault="00414FE7" w:rsidP="00414FE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accroi</w:t>
            </w:r>
            <w:r w:rsidR="00903092" w:rsidRPr="006973B5">
              <w:rPr>
                <w:rFonts w:ascii="Times New Roman" w:hAnsi="Times New Roman" w:cs="Times New Roman"/>
                <w:sz w:val="20"/>
                <w:szCs w:val="24"/>
              </w:rPr>
              <w:t>tre</w:t>
            </w:r>
            <w:r w:rsidRPr="006973B5">
              <w:rPr>
                <w:rFonts w:ascii="Times New Roman" w:hAnsi="Times New Roman" w:cs="Times New Roman"/>
                <w:sz w:val="20"/>
                <w:szCs w:val="24"/>
              </w:rPr>
              <w:t xml:space="preserve"> de la taille des superficies cultivées ;</w:t>
            </w:r>
          </w:p>
          <w:p w:rsidR="00414FE7" w:rsidRPr="006973B5" w:rsidRDefault="00414FE7" w:rsidP="00414FE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facilit</w:t>
            </w:r>
            <w:r w:rsidR="00903092" w:rsidRPr="006973B5">
              <w:rPr>
                <w:rFonts w:ascii="Times New Roman" w:hAnsi="Times New Roman" w:cs="Times New Roman"/>
                <w:sz w:val="20"/>
                <w:szCs w:val="24"/>
              </w:rPr>
              <w:t>er</w:t>
            </w:r>
            <w:r w:rsidRPr="006973B5">
              <w:rPr>
                <w:rFonts w:ascii="Times New Roman" w:hAnsi="Times New Roman" w:cs="Times New Roman"/>
                <w:sz w:val="20"/>
                <w:szCs w:val="24"/>
              </w:rPr>
              <w:t xml:space="preserve"> de l’accès des producteurs au financement ;</w:t>
            </w:r>
          </w:p>
          <w:p w:rsidR="00414FE7" w:rsidRPr="006973B5" w:rsidRDefault="00414FE7" w:rsidP="00414FE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développe</w:t>
            </w:r>
            <w:r w:rsidR="00903092" w:rsidRPr="006973B5">
              <w:rPr>
                <w:rFonts w:ascii="Times New Roman" w:hAnsi="Times New Roman" w:cs="Times New Roman"/>
                <w:sz w:val="20"/>
                <w:szCs w:val="24"/>
              </w:rPr>
              <w:t>r</w:t>
            </w:r>
            <w:r w:rsidRPr="006973B5">
              <w:rPr>
                <w:rFonts w:ascii="Times New Roman" w:hAnsi="Times New Roman" w:cs="Times New Roman"/>
                <w:sz w:val="20"/>
                <w:szCs w:val="24"/>
              </w:rPr>
              <w:t xml:space="preserve"> du stockage et de la transformation ;</w:t>
            </w:r>
          </w:p>
          <w:p w:rsidR="00A5520B" w:rsidRPr="006973B5" w:rsidRDefault="00414FE7" w:rsidP="00903092">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amélior</w:t>
            </w:r>
            <w:r w:rsidR="00903092" w:rsidRPr="006973B5">
              <w:rPr>
                <w:rFonts w:ascii="Times New Roman" w:hAnsi="Times New Roman" w:cs="Times New Roman"/>
                <w:sz w:val="20"/>
                <w:szCs w:val="24"/>
              </w:rPr>
              <w:t>er</w:t>
            </w:r>
            <w:r w:rsidRPr="006973B5">
              <w:rPr>
                <w:rFonts w:ascii="Times New Roman" w:hAnsi="Times New Roman" w:cs="Times New Roman"/>
                <w:sz w:val="20"/>
                <w:szCs w:val="24"/>
              </w:rPr>
              <w:t xml:space="preserve"> de l’organisation des acteurs de la filière.</w:t>
            </w:r>
          </w:p>
        </w:tc>
      </w:tr>
      <w:tr w:rsidR="00A5520B" w:rsidRPr="006973B5" w:rsidTr="00B63674">
        <w:trPr>
          <w:trHeight w:val="176"/>
        </w:trPr>
        <w:tc>
          <w:tcPr>
            <w:tcW w:w="2289" w:type="dxa"/>
            <w:vMerge/>
          </w:tcPr>
          <w:p w:rsidR="00A5520B" w:rsidRPr="006973B5" w:rsidRDefault="00A5520B" w:rsidP="00DA1A89">
            <w:pPr>
              <w:autoSpaceDE w:val="0"/>
              <w:autoSpaceDN w:val="0"/>
              <w:adjustRightInd w:val="0"/>
              <w:spacing w:line="276" w:lineRule="auto"/>
              <w:jc w:val="both"/>
              <w:rPr>
                <w:rFonts w:ascii="Times New Roman" w:hAnsi="Times New Roman" w:cs="Times New Roman"/>
                <w:b/>
                <w:bCs/>
              </w:rPr>
            </w:pPr>
          </w:p>
        </w:tc>
        <w:tc>
          <w:tcPr>
            <w:tcW w:w="1930" w:type="dxa"/>
          </w:tcPr>
          <w:p w:rsidR="00A5520B" w:rsidRPr="006973B5" w:rsidRDefault="00A5520B" w:rsidP="00DA1A89">
            <w:pPr>
              <w:autoSpaceDE w:val="0"/>
              <w:autoSpaceDN w:val="0"/>
              <w:adjustRightInd w:val="0"/>
              <w:spacing w:line="276" w:lineRule="auto"/>
              <w:jc w:val="both"/>
              <w:rPr>
                <w:rFonts w:ascii="Times New Roman" w:hAnsi="Times New Roman" w:cs="Times New Roman"/>
                <w:sz w:val="20"/>
                <w:szCs w:val="20"/>
              </w:rPr>
            </w:pPr>
            <w:r w:rsidRPr="006973B5">
              <w:rPr>
                <w:rFonts w:ascii="Times New Roman" w:hAnsi="Times New Roman" w:cs="Times New Roman"/>
                <w:sz w:val="20"/>
                <w:szCs w:val="20"/>
              </w:rPr>
              <w:t>Filière tomate</w:t>
            </w:r>
          </w:p>
        </w:tc>
        <w:tc>
          <w:tcPr>
            <w:tcW w:w="1985" w:type="dxa"/>
          </w:tcPr>
          <w:p w:rsidR="00FD5A07" w:rsidRPr="006973B5" w:rsidRDefault="00FD5A07" w:rsidP="00FD5A0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Potentiel de production : 34.365 tonnes</w:t>
            </w:r>
          </w:p>
          <w:p w:rsidR="00FD5A07" w:rsidRPr="006973B5" w:rsidRDefault="00FD5A07" w:rsidP="00FD5A0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Potentiel économique (sans valeur ajoutée) : 2 milliards de FCFA</w:t>
            </w:r>
          </w:p>
          <w:p w:rsidR="00FD5A07" w:rsidRPr="006973B5" w:rsidRDefault="00FD5A07" w:rsidP="00FD5A0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Diversification des produits : Tomate fraiche et transformée</w:t>
            </w:r>
          </w:p>
          <w:p w:rsidR="00A5520B" w:rsidRPr="006973B5" w:rsidRDefault="00FD5A07" w:rsidP="00FD5A0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Nombre d’acteurs concernés : 138. 360</w:t>
            </w:r>
          </w:p>
        </w:tc>
        <w:tc>
          <w:tcPr>
            <w:tcW w:w="3543" w:type="dxa"/>
          </w:tcPr>
          <w:p w:rsidR="00A5520B" w:rsidRPr="006973B5" w:rsidRDefault="00A5520B" w:rsidP="00DA1A89">
            <w:pPr>
              <w:autoSpaceDE w:val="0"/>
              <w:autoSpaceDN w:val="0"/>
              <w:adjustRightInd w:val="0"/>
              <w:rPr>
                <w:rFonts w:ascii="Times New Roman" w:hAnsi="Times New Roman" w:cs="Times New Roman"/>
                <w:sz w:val="20"/>
                <w:szCs w:val="24"/>
              </w:rPr>
            </w:pPr>
          </w:p>
        </w:tc>
        <w:tc>
          <w:tcPr>
            <w:tcW w:w="5039" w:type="dxa"/>
          </w:tcPr>
          <w:p w:rsidR="00A5520B" w:rsidRPr="006973B5" w:rsidRDefault="00FD5A07" w:rsidP="00FD5A0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Par ailleurs, la filière tomate pourrait bénéficier de potentiels investisseurs avec le projet d’installation d’une usine de transformation à Niono.</w:t>
            </w:r>
          </w:p>
        </w:tc>
      </w:tr>
      <w:tr w:rsidR="00EC1C6E" w:rsidRPr="006973B5" w:rsidTr="00B63674">
        <w:trPr>
          <w:trHeight w:val="176"/>
        </w:trPr>
        <w:tc>
          <w:tcPr>
            <w:tcW w:w="2289" w:type="dxa"/>
          </w:tcPr>
          <w:p w:rsidR="00EC1C6E" w:rsidRPr="006973B5" w:rsidRDefault="00EC1C6E" w:rsidP="00DA1A89">
            <w:pPr>
              <w:autoSpaceDE w:val="0"/>
              <w:autoSpaceDN w:val="0"/>
              <w:adjustRightInd w:val="0"/>
              <w:spacing w:line="276" w:lineRule="auto"/>
              <w:jc w:val="both"/>
              <w:rPr>
                <w:rFonts w:ascii="Times New Roman" w:hAnsi="Times New Roman" w:cs="Times New Roman"/>
                <w:b/>
                <w:bCs/>
              </w:rPr>
            </w:pPr>
            <w:r w:rsidRPr="006973B5">
              <w:rPr>
                <w:rFonts w:ascii="Times New Roman" w:hAnsi="Times New Roman" w:cs="Times New Roman"/>
                <w:b/>
                <w:bCs/>
              </w:rPr>
              <w:t>Agriculture</w:t>
            </w:r>
          </w:p>
        </w:tc>
        <w:tc>
          <w:tcPr>
            <w:tcW w:w="1930" w:type="dxa"/>
          </w:tcPr>
          <w:p w:rsidR="00EC1C6E" w:rsidRPr="006973B5" w:rsidRDefault="00EC1C6E" w:rsidP="00DA1A89">
            <w:pPr>
              <w:autoSpaceDE w:val="0"/>
              <w:autoSpaceDN w:val="0"/>
              <w:adjustRightInd w:val="0"/>
              <w:spacing w:line="276" w:lineRule="auto"/>
              <w:jc w:val="both"/>
              <w:rPr>
                <w:rFonts w:ascii="Times New Roman" w:hAnsi="Times New Roman" w:cs="Times New Roman"/>
                <w:sz w:val="20"/>
                <w:szCs w:val="20"/>
              </w:rPr>
            </w:pPr>
            <w:r w:rsidRPr="006973B5">
              <w:rPr>
                <w:rFonts w:ascii="Times New Roman" w:hAnsi="Times New Roman" w:cs="Times New Roman"/>
                <w:sz w:val="20"/>
                <w:szCs w:val="20"/>
              </w:rPr>
              <w:t>Filière riz</w:t>
            </w:r>
          </w:p>
        </w:tc>
        <w:tc>
          <w:tcPr>
            <w:tcW w:w="1985" w:type="dxa"/>
          </w:tcPr>
          <w:p w:rsidR="00044D54" w:rsidRPr="006973B5" w:rsidRDefault="00044D54" w:rsidP="00044D5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présence du fleuve Niger (292 km dans la région) et de son affluent, le Bani : le Niger en permettant l’alimentation du réseau d’irrigation offre à la région, grâce au barrage de</w:t>
            </w:r>
          </w:p>
          <w:p w:rsidR="00044D54" w:rsidRPr="006973B5" w:rsidRDefault="00044D54" w:rsidP="00044D5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Markala, la possibilité de développer </w:t>
            </w:r>
            <w:r w:rsidRPr="006973B5">
              <w:rPr>
                <w:rFonts w:ascii="Times New Roman" w:hAnsi="Times New Roman" w:cs="Times New Roman"/>
                <w:sz w:val="20"/>
                <w:szCs w:val="24"/>
              </w:rPr>
              <w:lastRenderedPageBreak/>
              <w:t>l’agriculture irriguée, la pisciculture et l’élevage.</w:t>
            </w:r>
          </w:p>
          <w:p w:rsidR="00EC1C6E" w:rsidRPr="006973B5" w:rsidRDefault="00044D54" w:rsidP="00044D5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présence de la zone soudanienne Nord qui occupe 31% de la superficie régionale qui est, grâce à sa pluviométrie (550 à 750 mm/an), favorable à l’agriculture céréalière.</w:t>
            </w:r>
          </w:p>
        </w:tc>
        <w:tc>
          <w:tcPr>
            <w:tcW w:w="3543" w:type="dxa"/>
          </w:tcPr>
          <w:p w:rsidR="00EC1C6E" w:rsidRPr="006973B5" w:rsidRDefault="00EC1C6E" w:rsidP="00DA1A89">
            <w:pPr>
              <w:autoSpaceDE w:val="0"/>
              <w:autoSpaceDN w:val="0"/>
              <w:adjustRightInd w:val="0"/>
              <w:rPr>
                <w:rFonts w:ascii="Times New Roman" w:hAnsi="Times New Roman" w:cs="Times New Roman"/>
                <w:sz w:val="20"/>
                <w:szCs w:val="24"/>
              </w:rPr>
            </w:pPr>
          </w:p>
        </w:tc>
        <w:tc>
          <w:tcPr>
            <w:tcW w:w="5039" w:type="dxa"/>
          </w:tcPr>
          <w:p w:rsidR="00092596" w:rsidRPr="006973B5" w:rsidRDefault="00181CB8" w:rsidP="00092596">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w:t>
            </w:r>
            <w:r w:rsidR="00092596" w:rsidRPr="006973B5">
              <w:rPr>
                <w:rFonts w:ascii="Times New Roman" w:hAnsi="Times New Roman" w:cs="Times New Roman"/>
                <w:sz w:val="20"/>
                <w:szCs w:val="24"/>
              </w:rPr>
              <w:t>améliorer la productivité à l’hectare à travers un meilleur encadrement des producteurs, un respect des itinéraires techniques préconisés et un meilleur accès des</w:t>
            </w:r>
          </w:p>
          <w:p w:rsidR="00EC1C6E" w:rsidRPr="006973B5" w:rsidRDefault="00092596" w:rsidP="00092596">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producteurs aux facteurs et moyens de production</w:t>
            </w:r>
          </w:p>
        </w:tc>
      </w:tr>
      <w:tr w:rsidR="00A5520B" w:rsidRPr="006973B5" w:rsidTr="00B63674">
        <w:trPr>
          <w:trHeight w:val="176"/>
        </w:trPr>
        <w:tc>
          <w:tcPr>
            <w:tcW w:w="2289" w:type="dxa"/>
          </w:tcPr>
          <w:p w:rsidR="00A5520B" w:rsidRPr="006973B5" w:rsidRDefault="00EC1C6E" w:rsidP="00DA1A89">
            <w:pPr>
              <w:autoSpaceDE w:val="0"/>
              <w:autoSpaceDN w:val="0"/>
              <w:adjustRightInd w:val="0"/>
              <w:spacing w:line="276" w:lineRule="auto"/>
              <w:jc w:val="both"/>
              <w:rPr>
                <w:rFonts w:ascii="Times New Roman" w:hAnsi="Times New Roman" w:cs="Times New Roman"/>
                <w:b/>
                <w:sz w:val="28"/>
                <w:szCs w:val="28"/>
              </w:rPr>
            </w:pPr>
            <w:r w:rsidRPr="006973B5">
              <w:rPr>
                <w:rFonts w:ascii="Times New Roman" w:hAnsi="Times New Roman" w:cs="Times New Roman"/>
                <w:b/>
                <w:bCs/>
                <w:sz w:val="20"/>
                <w:szCs w:val="20"/>
              </w:rPr>
              <w:lastRenderedPageBreak/>
              <w:t>Cultures émergentes</w:t>
            </w:r>
          </w:p>
        </w:tc>
        <w:tc>
          <w:tcPr>
            <w:tcW w:w="1930" w:type="dxa"/>
          </w:tcPr>
          <w:p w:rsidR="00A5520B" w:rsidRPr="006973B5" w:rsidRDefault="00A5520B" w:rsidP="00DA1A89">
            <w:pPr>
              <w:autoSpaceDE w:val="0"/>
              <w:autoSpaceDN w:val="0"/>
              <w:adjustRightInd w:val="0"/>
              <w:spacing w:line="276" w:lineRule="auto"/>
              <w:jc w:val="both"/>
              <w:rPr>
                <w:rFonts w:ascii="Times New Roman" w:hAnsi="Times New Roman" w:cs="Times New Roman"/>
                <w:b/>
                <w:bCs/>
                <w:sz w:val="28"/>
                <w:szCs w:val="28"/>
              </w:rPr>
            </w:pPr>
            <w:r w:rsidRPr="006973B5">
              <w:rPr>
                <w:rFonts w:ascii="Times New Roman" w:hAnsi="Times New Roman" w:cs="Times New Roman"/>
                <w:sz w:val="20"/>
                <w:szCs w:val="20"/>
              </w:rPr>
              <w:t>Filière sésame</w:t>
            </w:r>
          </w:p>
        </w:tc>
        <w:tc>
          <w:tcPr>
            <w:tcW w:w="1985" w:type="dxa"/>
          </w:tcPr>
          <w:p w:rsidR="005B27D4" w:rsidRPr="006973B5" w:rsidRDefault="005B27D4" w:rsidP="005B27D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un potentiel de production important dans de bonnes conditions agro-écologiques ;</w:t>
            </w:r>
          </w:p>
          <w:p w:rsidR="005B27D4" w:rsidRPr="006973B5" w:rsidRDefault="005B27D4" w:rsidP="005B27D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l’existence d’acteurs confirmés de la production à l’exportation ;</w:t>
            </w:r>
          </w:p>
          <w:p w:rsidR="005B27D4" w:rsidRPr="006973B5" w:rsidRDefault="005B27D4" w:rsidP="005B27D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présence de marchés pour l’écoulement des produits aux plans national et</w:t>
            </w:r>
          </w:p>
          <w:p w:rsidR="005B27D4" w:rsidRPr="006973B5" w:rsidRDefault="005B27D4" w:rsidP="005B27D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international ;</w:t>
            </w:r>
          </w:p>
          <w:p w:rsidR="005B27D4" w:rsidRPr="006973B5" w:rsidRDefault="005B27D4" w:rsidP="005B27D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l’existence d’un encadrement technique et financier de qualité ;</w:t>
            </w:r>
          </w:p>
          <w:p w:rsidR="00A5520B" w:rsidRPr="006973B5" w:rsidRDefault="005B27D4" w:rsidP="005B27D4">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 la présence de structures d’appui à la filière.</w:t>
            </w:r>
          </w:p>
        </w:tc>
        <w:tc>
          <w:tcPr>
            <w:tcW w:w="3543" w:type="dxa"/>
          </w:tcPr>
          <w:p w:rsidR="005B27D4" w:rsidRPr="006973B5" w:rsidRDefault="005B27D4" w:rsidP="005B27D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l’inexistence pour le moment d’une structure interprofessionnelle liée à la jeunesse de la</w:t>
            </w:r>
          </w:p>
          <w:p w:rsidR="005B27D4" w:rsidRPr="006973B5" w:rsidRDefault="005B27D4" w:rsidP="005B27D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filière qui est une culture émergente ;</w:t>
            </w:r>
          </w:p>
          <w:p w:rsidR="005B27D4" w:rsidRPr="006973B5" w:rsidRDefault="005B27D4" w:rsidP="005B27D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l’insuffisance de la recherche d’accompagnement sur les variétés de semences, les</w:t>
            </w:r>
          </w:p>
          <w:p w:rsidR="005B27D4" w:rsidRPr="006973B5" w:rsidRDefault="005B27D4" w:rsidP="005B27D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itinéraires techniques de production et de post-récolte ;</w:t>
            </w:r>
          </w:p>
          <w:p w:rsidR="005B27D4" w:rsidRPr="006973B5" w:rsidRDefault="005B27D4" w:rsidP="005B27D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 sous-équipement des producteurs ;</w:t>
            </w:r>
          </w:p>
          <w:p w:rsidR="005B27D4" w:rsidRPr="006973B5" w:rsidRDefault="005B27D4" w:rsidP="005B27D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fluctuation des prix ;</w:t>
            </w:r>
          </w:p>
          <w:p w:rsidR="005B27D4" w:rsidRPr="006973B5" w:rsidRDefault="005B27D4" w:rsidP="005B27D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mauvaise qualité marchande des produits ;</w:t>
            </w:r>
          </w:p>
          <w:p w:rsidR="005B27D4" w:rsidRPr="006973B5" w:rsidRDefault="005B27D4" w:rsidP="005B27D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les difficultés d’approvisionnement en intrants de qualité ;</w:t>
            </w:r>
          </w:p>
          <w:p w:rsidR="005B27D4" w:rsidRPr="006973B5" w:rsidRDefault="005B27D4" w:rsidP="005B27D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l’insuffisance d’équipements de transformation et de conditionnement conformes aux</w:t>
            </w:r>
          </w:p>
          <w:p w:rsidR="00A5520B" w:rsidRPr="006973B5" w:rsidRDefault="005B27D4" w:rsidP="005B27D4">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normes mondiales</w:t>
            </w:r>
          </w:p>
        </w:tc>
        <w:tc>
          <w:tcPr>
            <w:tcW w:w="5039" w:type="dxa"/>
          </w:tcPr>
          <w:p w:rsidR="005B27D4" w:rsidRPr="006973B5" w:rsidRDefault="005B27D4" w:rsidP="005B27D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renforce</w:t>
            </w:r>
            <w:r w:rsidR="00181CB8" w:rsidRPr="006973B5">
              <w:rPr>
                <w:rFonts w:ascii="Times New Roman" w:hAnsi="Times New Roman" w:cs="Times New Roman"/>
                <w:sz w:val="20"/>
                <w:szCs w:val="24"/>
              </w:rPr>
              <w:t>r</w:t>
            </w:r>
            <w:r w:rsidRPr="006973B5">
              <w:rPr>
                <w:rFonts w:ascii="Times New Roman" w:hAnsi="Times New Roman" w:cs="Times New Roman"/>
                <w:sz w:val="20"/>
                <w:szCs w:val="24"/>
              </w:rPr>
              <w:t xml:space="preserve"> l’organisation des acteurs de la filière ;</w:t>
            </w:r>
          </w:p>
          <w:p w:rsidR="005B27D4" w:rsidRPr="006973B5" w:rsidRDefault="005B27D4" w:rsidP="005B27D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renforce</w:t>
            </w:r>
            <w:r w:rsidR="00181CB8" w:rsidRPr="006973B5">
              <w:rPr>
                <w:rFonts w:ascii="Times New Roman" w:hAnsi="Times New Roman" w:cs="Times New Roman"/>
                <w:sz w:val="20"/>
                <w:szCs w:val="24"/>
              </w:rPr>
              <w:t>r</w:t>
            </w:r>
            <w:r w:rsidRPr="006973B5">
              <w:rPr>
                <w:rFonts w:ascii="Times New Roman" w:hAnsi="Times New Roman" w:cs="Times New Roman"/>
                <w:sz w:val="20"/>
                <w:szCs w:val="24"/>
              </w:rPr>
              <w:t xml:space="preserve"> la recherche d’accompagnement sur les variétés de semences, les itinéraires techniques de production et de post-récolte ;</w:t>
            </w:r>
          </w:p>
          <w:p w:rsidR="005B27D4" w:rsidRPr="006973B5" w:rsidRDefault="005B27D4" w:rsidP="005B27D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amélior</w:t>
            </w:r>
            <w:r w:rsidR="00181CB8" w:rsidRPr="006973B5">
              <w:rPr>
                <w:rFonts w:ascii="Times New Roman" w:hAnsi="Times New Roman" w:cs="Times New Roman"/>
                <w:sz w:val="20"/>
                <w:szCs w:val="24"/>
              </w:rPr>
              <w:t>er</w:t>
            </w:r>
            <w:r w:rsidRPr="006973B5">
              <w:rPr>
                <w:rFonts w:ascii="Times New Roman" w:hAnsi="Times New Roman" w:cs="Times New Roman"/>
                <w:sz w:val="20"/>
                <w:szCs w:val="24"/>
              </w:rPr>
              <w:t xml:space="preserve"> l’équipement des producteurs ;</w:t>
            </w:r>
          </w:p>
          <w:p w:rsidR="005B27D4" w:rsidRPr="006973B5" w:rsidRDefault="005B27D4" w:rsidP="005B27D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w:t>
            </w:r>
            <w:r w:rsidR="00181CB8" w:rsidRPr="006973B5">
              <w:rPr>
                <w:rFonts w:ascii="Times New Roman" w:hAnsi="Times New Roman" w:cs="Times New Roman"/>
                <w:sz w:val="20"/>
                <w:szCs w:val="24"/>
              </w:rPr>
              <w:t>a</w:t>
            </w:r>
            <w:r w:rsidRPr="006973B5">
              <w:rPr>
                <w:rFonts w:ascii="Times New Roman" w:hAnsi="Times New Roman" w:cs="Times New Roman"/>
                <w:sz w:val="20"/>
                <w:szCs w:val="24"/>
              </w:rPr>
              <w:t>mélior</w:t>
            </w:r>
            <w:r w:rsidR="00181CB8" w:rsidRPr="006973B5">
              <w:rPr>
                <w:rFonts w:ascii="Times New Roman" w:hAnsi="Times New Roman" w:cs="Times New Roman"/>
                <w:sz w:val="20"/>
                <w:szCs w:val="24"/>
              </w:rPr>
              <w:t>er</w:t>
            </w:r>
            <w:r w:rsidRPr="006973B5">
              <w:rPr>
                <w:rFonts w:ascii="Times New Roman" w:hAnsi="Times New Roman" w:cs="Times New Roman"/>
                <w:sz w:val="20"/>
                <w:szCs w:val="24"/>
              </w:rPr>
              <w:t xml:space="preserve"> la qualité marchande des produits ;</w:t>
            </w:r>
          </w:p>
          <w:p w:rsidR="005B27D4" w:rsidRPr="006973B5" w:rsidRDefault="005B27D4" w:rsidP="005B27D4">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amélior</w:t>
            </w:r>
            <w:r w:rsidR="00181CB8" w:rsidRPr="006973B5">
              <w:rPr>
                <w:rFonts w:ascii="Times New Roman" w:hAnsi="Times New Roman" w:cs="Times New Roman"/>
                <w:sz w:val="20"/>
                <w:szCs w:val="24"/>
              </w:rPr>
              <w:t xml:space="preserve">er </w:t>
            </w:r>
            <w:r w:rsidRPr="006973B5">
              <w:rPr>
                <w:rFonts w:ascii="Times New Roman" w:hAnsi="Times New Roman" w:cs="Times New Roman"/>
                <w:sz w:val="20"/>
                <w:szCs w:val="24"/>
              </w:rPr>
              <w:t>l’approvisionnement des producteurs en intrants de qualité ;</w:t>
            </w:r>
          </w:p>
          <w:p w:rsidR="00A5520B" w:rsidRPr="006973B5" w:rsidRDefault="005B27D4" w:rsidP="00181CB8">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renforce</w:t>
            </w:r>
            <w:r w:rsidR="00181CB8" w:rsidRPr="006973B5">
              <w:rPr>
                <w:rFonts w:ascii="Times New Roman" w:hAnsi="Times New Roman" w:cs="Times New Roman"/>
                <w:sz w:val="20"/>
                <w:szCs w:val="24"/>
              </w:rPr>
              <w:t>r le</w:t>
            </w:r>
            <w:r w:rsidRPr="006973B5">
              <w:rPr>
                <w:rFonts w:ascii="Times New Roman" w:hAnsi="Times New Roman" w:cs="Times New Roman"/>
                <w:sz w:val="20"/>
                <w:szCs w:val="24"/>
              </w:rPr>
              <w:t xml:space="preserve"> parc d’équipements de transformation et de conditionnement conformes aux normes mondiales</w:t>
            </w:r>
          </w:p>
        </w:tc>
      </w:tr>
      <w:tr w:rsidR="00A5520B" w:rsidRPr="006973B5" w:rsidTr="00B63674">
        <w:trPr>
          <w:trHeight w:val="176"/>
        </w:trPr>
        <w:tc>
          <w:tcPr>
            <w:tcW w:w="2289" w:type="dxa"/>
          </w:tcPr>
          <w:p w:rsidR="00A5520B" w:rsidRPr="006973B5" w:rsidRDefault="00A5520B" w:rsidP="00DA1A89">
            <w:pPr>
              <w:autoSpaceDE w:val="0"/>
              <w:autoSpaceDN w:val="0"/>
              <w:adjustRightInd w:val="0"/>
              <w:spacing w:line="276" w:lineRule="auto"/>
              <w:jc w:val="both"/>
              <w:rPr>
                <w:rFonts w:ascii="Times New Roman" w:hAnsi="Times New Roman" w:cs="Times New Roman"/>
                <w:b/>
                <w:sz w:val="28"/>
                <w:szCs w:val="28"/>
              </w:rPr>
            </w:pPr>
            <w:r w:rsidRPr="006973B5">
              <w:rPr>
                <w:rFonts w:ascii="Times New Roman" w:hAnsi="Times New Roman" w:cs="Times New Roman"/>
                <w:b/>
                <w:bCs/>
              </w:rPr>
              <w:lastRenderedPageBreak/>
              <w:t>Elevage</w:t>
            </w:r>
          </w:p>
        </w:tc>
        <w:tc>
          <w:tcPr>
            <w:tcW w:w="1930" w:type="dxa"/>
          </w:tcPr>
          <w:p w:rsidR="00A5520B" w:rsidRPr="006973B5" w:rsidRDefault="00A5520B" w:rsidP="00A5520B">
            <w:pPr>
              <w:autoSpaceDE w:val="0"/>
              <w:autoSpaceDN w:val="0"/>
              <w:adjustRightInd w:val="0"/>
              <w:rPr>
                <w:rFonts w:ascii="Times New Roman" w:hAnsi="Times New Roman" w:cs="Times New Roman"/>
                <w:sz w:val="20"/>
                <w:szCs w:val="20"/>
              </w:rPr>
            </w:pPr>
            <w:r w:rsidRPr="006973B5">
              <w:rPr>
                <w:rFonts w:ascii="Times New Roman" w:hAnsi="Times New Roman" w:cs="Times New Roman"/>
                <w:sz w:val="20"/>
                <w:szCs w:val="20"/>
              </w:rPr>
              <w:t>Filière bétail/viande</w:t>
            </w:r>
          </w:p>
          <w:p w:rsidR="00A5520B" w:rsidRPr="006973B5" w:rsidRDefault="00A5520B" w:rsidP="00A5520B">
            <w:pPr>
              <w:autoSpaceDE w:val="0"/>
              <w:autoSpaceDN w:val="0"/>
              <w:adjustRightInd w:val="0"/>
              <w:spacing w:line="276" w:lineRule="auto"/>
              <w:jc w:val="both"/>
              <w:rPr>
                <w:rFonts w:ascii="Times New Roman" w:hAnsi="Times New Roman" w:cs="Times New Roman"/>
                <w:b/>
                <w:bCs/>
                <w:sz w:val="28"/>
                <w:szCs w:val="28"/>
              </w:rPr>
            </w:pPr>
            <w:r w:rsidRPr="006973B5">
              <w:rPr>
                <w:rFonts w:ascii="Calibri" w:hAnsi="Calibri" w:cs="Calibri"/>
                <w:sz w:val="20"/>
                <w:szCs w:val="20"/>
              </w:rPr>
              <w:t xml:space="preserve">Et </w:t>
            </w:r>
            <w:r w:rsidRPr="006973B5">
              <w:rPr>
                <w:rFonts w:ascii="Times New Roman" w:hAnsi="Times New Roman" w:cs="Times New Roman"/>
                <w:sz w:val="20"/>
                <w:szCs w:val="20"/>
              </w:rPr>
              <w:t>lait</w:t>
            </w:r>
          </w:p>
        </w:tc>
        <w:tc>
          <w:tcPr>
            <w:tcW w:w="1985" w:type="dxa"/>
          </w:tcPr>
          <w:p w:rsidR="00436CDE" w:rsidRPr="006973B5" w:rsidRDefault="00436CDE" w:rsidP="00436CDE">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Les principales potentialités de ces filières sont liées aux atouts de la région de Ségou en</w:t>
            </w:r>
          </w:p>
          <w:p w:rsidR="00436CDE" w:rsidRPr="006973B5" w:rsidRDefault="00436CDE" w:rsidP="00436CDE">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matière d’élevage. En effet, la région de Ségou est le premier exportateur de bétail sur pied au</w:t>
            </w:r>
          </w:p>
          <w:p w:rsidR="00436CDE" w:rsidRPr="006973B5" w:rsidRDefault="00436CDE" w:rsidP="00436CDE">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Mali, et occupe les 2</w:t>
            </w:r>
            <w:r w:rsidRPr="006973B5">
              <w:rPr>
                <w:rFonts w:ascii="Times New Roman" w:hAnsi="Times New Roman" w:cs="Times New Roman"/>
                <w:sz w:val="20"/>
                <w:szCs w:val="24"/>
                <w:vertAlign w:val="superscript"/>
              </w:rPr>
              <w:t>ème</w:t>
            </w:r>
            <w:r w:rsidRPr="006973B5">
              <w:rPr>
                <w:rFonts w:ascii="Times New Roman" w:hAnsi="Times New Roman" w:cs="Times New Roman"/>
                <w:sz w:val="20"/>
                <w:szCs w:val="24"/>
              </w:rPr>
              <w:t xml:space="preserve"> et 3</w:t>
            </w:r>
            <w:r w:rsidRPr="006973B5">
              <w:rPr>
                <w:rFonts w:ascii="Times New Roman" w:hAnsi="Times New Roman" w:cs="Times New Roman"/>
                <w:sz w:val="20"/>
                <w:szCs w:val="24"/>
                <w:vertAlign w:val="superscript"/>
              </w:rPr>
              <w:t>ème</w:t>
            </w:r>
            <w:r w:rsidRPr="006973B5">
              <w:rPr>
                <w:rFonts w:ascii="Times New Roman" w:hAnsi="Times New Roman" w:cs="Times New Roman"/>
                <w:sz w:val="20"/>
                <w:szCs w:val="24"/>
              </w:rPr>
              <w:t xml:space="preserve">   rangs du pays pour ses effectifs en petits ruminants et en</w:t>
            </w:r>
          </w:p>
          <w:p w:rsidR="00A5520B" w:rsidRPr="006973B5" w:rsidRDefault="00436CDE" w:rsidP="00436CDE">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bovins.</w:t>
            </w:r>
          </w:p>
        </w:tc>
        <w:tc>
          <w:tcPr>
            <w:tcW w:w="3543" w:type="dxa"/>
          </w:tcPr>
          <w:p w:rsidR="00436CDE" w:rsidRPr="006973B5" w:rsidRDefault="00436CDE" w:rsidP="00436CDE">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Cependant, les principales contraintes de la filière laitière sont le nombre insuffisant d’unités</w:t>
            </w:r>
          </w:p>
          <w:p w:rsidR="00436CDE" w:rsidRPr="006973B5" w:rsidRDefault="00436CDE" w:rsidP="00436CDE">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de collecte, de stockage et de traitement du lait en particulier le nombre limité de mini laiteries dans la région. Quant à la filière bétail/viande, elle est confrontée au manque d’unités</w:t>
            </w:r>
          </w:p>
          <w:p w:rsidR="00A5520B" w:rsidRPr="006973B5" w:rsidRDefault="00436CDE" w:rsidP="00436CDE">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industrielles de transformation animale.</w:t>
            </w:r>
          </w:p>
        </w:tc>
        <w:tc>
          <w:tcPr>
            <w:tcW w:w="5039" w:type="dxa"/>
          </w:tcPr>
          <w:p w:rsidR="00A5520B" w:rsidRPr="006973B5" w:rsidRDefault="00A4616C" w:rsidP="00436CDE">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w:t>
            </w:r>
            <w:r w:rsidR="00436CDE" w:rsidRPr="006973B5">
              <w:rPr>
                <w:rFonts w:ascii="Times New Roman" w:hAnsi="Times New Roman" w:cs="Times New Roman"/>
                <w:sz w:val="20"/>
                <w:szCs w:val="24"/>
              </w:rPr>
              <w:t>promouvoir la filière laitière, il convient de renforcer les capacités régionales en matière de collecte, stockage et traitement avec notamment l’augmentation des unités de collecte et des mini-laiteries ainsi que leur répartition équilibrée dans tous les cercles de la région de Ségou ayant des potentialités en matière de production laitière. En ce qui concerne, la filière bétail/viande, il s’agira d’améliorer la transformation industrielle de la production</w:t>
            </w:r>
          </w:p>
        </w:tc>
      </w:tr>
      <w:tr w:rsidR="00A5520B" w:rsidRPr="006973B5" w:rsidTr="00B63674">
        <w:trPr>
          <w:trHeight w:val="176"/>
        </w:trPr>
        <w:tc>
          <w:tcPr>
            <w:tcW w:w="2289" w:type="dxa"/>
          </w:tcPr>
          <w:p w:rsidR="00A5520B" w:rsidRPr="006973B5" w:rsidRDefault="00A5520B" w:rsidP="00DA1A89">
            <w:pPr>
              <w:autoSpaceDE w:val="0"/>
              <w:autoSpaceDN w:val="0"/>
              <w:adjustRightInd w:val="0"/>
              <w:spacing w:line="276" w:lineRule="auto"/>
              <w:jc w:val="both"/>
              <w:rPr>
                <w:rFonts w:ascii="Times New Roman" w:hAnsi="Times New Roman" w:cs="Times New Roman"/>
                <w:b/>
                <w:sz w:val="28"/>
                <w:szCs w:val="28"/>
              </w:rPr>
            </w:pPr>
            <w:r w:rsidRPr="006973B5">
              <w:rPr>
                <w:rFonts w:ascii="Times New Roman" w:hAnsi="Times New Roman" w:cs="Times New Roman"/>
                <w:b/>
                <w:bCs/>
              </w:rPr>
              <w:t>Pêche</w:t>
            </w:r>
          </w:p>
        </w:tc>
        <w:tc>
          <w:tcPr>
            <w:tcW w:w="1930" w:type="dxa"/>
          </w:tcPr>
          <w:p w:rsidR="00A5520B" w:rsidRPr="006973B5" w:rsidRDefault="00A5520B" w:rsidP="00DA1A89">
            <w:pPr>
              <w:autoSpaceDE w:val="0"/>
              <w:autoSpaceDN w:val="0"/>
              <w:adjustRightInd w:val="0"/>
              <w:spacing w:line="276" w:lineRule="auto"/>
              <w:jc w:val="both"/>
              <w:rPr>
                <w:rFonts w:ascii="Times New Roman" w:hAnsi="Times New Roman" w:cs="Times New Roman"/>
                <w:b/>
                <w:bCs/>
                <w:sz w:val="28"/>
                <w:szCs w:val="28"/>
              </w:rPr>
            </w:pPr>
            <w:r w:rsidRPr="006973B5">
              <w:rPr>
                <w:rFonts w:ascii="Times New Roman" w:hAnsi="Times New Roman" w:cs="Times New Roman"/>
                <w:sz w:val="20"/>
                <w:szCs w:val="20"/>
              </w:rPr>
              <w:t>Filière poissons et produits halieutiques</w:t>
            </w:r>
          </w:p>
        </w:tc>
        <w:tc>
          <w:tcPr>
            <w:tcW w:w="1985" w:type="dxa"/>
          </w:tcPr>
          <w:p w:rsidR="00436CDE" w:rsidRPr="006973B5" w:rsidRDefault="00436CDE" w:rsidP="00436CDE">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Cette filière est favorisée par la présence d’importantes ressources hydriques dans la région de</w:t>
            </w:r>
          </w:p>
          <w:p w:rsidR="00436CDE" w:rsidRPr="006973B5" w:rsidRDefault="00436CDE" w:rsidP="00436CDE">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Ségou : fleuve Niger, Bani, Canal du Sahel (entre Ségou et Niono), canaux d’irrigation de</w:t>
            </w:r>
          </w:p>
          <w:p w:rsidR="00A5520B" w:rsidRPr="006973B5" w:rsidRDefault="00436CDE" w:rsidP="00436CDE">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l’Office du Niger</w:t>
            </w:r>
          </w:p>
        </w:tc>
        <w:tc>
          <w:tcPr>
            <w:tcW w:w="3543" w:type="dxa"/>
          </w:tcPr>
          <w:p w:rsidR="00A5520B" w:rsidRPr="006973B5" w:rsidRDefault="00A5520B" w:rsidP="00DA1A89">
            <w:pPr>
              <w:autoSpaceDE w:val="0"/>
              <w:autoSpaceDN w:val="0"/>
              <w:adjustRightInd w:val="0"/>
              <w:spacing w:line="276" w:lineRule="auto"/>
              <w:jc w:val="both"/>
              <w:rPr>
                <w:rFonts w:ascii="Times New Roman" w:hAnsi="Times New Roman" w:cs="Times New Roman"/>
                <w:b/>
                <w:bCs/>
                <w:sz w:val="28"/>
                <w:szCs w:val="28"/>
              </w:rPr>
            </w:pPr>
          </w:p>
        </w:tc>
        <w:tc>
          <w:tcPr>
            <w:tcW w:w="5039" w:type="dxa"/>
          </w:tcPr>
          <w:p w:rsidR="00A5520B" w:rsidRPr="006973B5" w:rsidRDefault="00A5520B" w:rsidP="00DA1A89">
            <w:pPr>
              <w:autoSpaceDE w:val="0"/>
              <w:autoSpaceDN w:val="0"/>
              <w:adjustRightInd w:val="0"/>
              <w:spacing w:line="276" w:lineRule="auto"/>
              <w:jc w:val="both"/>
              <w:rPr>
                <w:rFonts w:ascii="Times New Roman" w:hAnsi="Times New Roman" w:cs="Times New Roman"/>
                <w:b/>
                <w:bCs/>
                <w:sz w:val="28"/>
                <w:szCs w:val="28"/>
              </w:rPr>
            </w:pPr>
          </w:p>
        </w:tc>
      </w:tr>
      <w:tr w:rsidR="00A5520B" w:rsidRPr="006973B5" w:rsidTr="00B63674">
        <w:trPr>
          <w:trHeight w:val="176"/>
        </w:trPr>
        <w:tc>
          <w:tcPr>
            <w:tcW w:w="2289" w:type="dxa"/>
          </w:tcPr>
          <w:p w:rsidR="00A5520B" w:rsidRPr="006973B5" w:rsidRDefault="00A5520B" w:rsidP="00DA1A89">
            <w:pPr>
              <w:autoSpaceDE w:val="0"/>
              <w:autoSpaceDN w:val="0"/>
              <w:adjustRightInd w:val="0"/>
              <w:spacing w:line="276" w:lineRule="auto"/>
              <w:jc w:val="both"/>
              <w:rPr>
                <w:rFonts w:ascii="Times New Roman" w:hAnsi="Times New Roman" w:cs="Times New Roman"/>
                <w:b/>
                <w:bCs/>
              </w:rPr>
            </w:pPr>
            <w:r w:rsidRPr="006973B5">
              <w:rPr>
                <w:rFonts w:ascii="Times New Roman" w:hAnsi="Times New Roman" w:cs="Times New Roman"/>
                <w:b/>
                <w:bCs/>
                <w:sz w:val="20"/>
                <w:szCs w:val="20"/>
              </w:rPr>
              <w:t>Tourisme</w:t>
            </w:r>
          </w:p>
        </w:tc>
        <w:tc>
          <w:tcPr>
            <w:tcW w:w="1930" w:type="dxa"/>
          </w:tcPr>
          <w:p w:rsidR="00A5520B" w:rsidRPr="006973B5" w:rsidRDefault="00A5520B" w:rsidP="00DA1A89">
            <w:pPr>
              <w:autoSpaceDE w:val="0"/>
              <w:autoSpaceDN w:val="0"/>
              <w:adjustRightInd w:val="0"/>
              <w:spacing w:line="276" w:lineRule="auto"/>
              <w:jc w:val="both"/>
              <w:rPr>
                <w:rFonts w:ascii="Times New Roman" w:hAnsi="Times New Roman" w:cs="Times New Roman"/>
                <w:b/>
                <w:bCs/>
                <w:sz w:val="28"/>
                <w:szCs w:val="28"/>
              </w:rPr>
            </w:pPr>
            <w:r w:rsidRPr="006973B5">
              <w:rPr>
                <w:rFonts w:ascii="Times New Roman" w:hAnsi="Times New Roman" w:cs="Times New Roman"/>
                <w:sz w:val="20"/>
                <w:szCs w:val="20"/>
              </w:rPr>
              <w:t>Filière tourisme</w:t>
            </w:r>
          </w:p>
        </w:tc>
        <w:tc>
          <w:tcPr>
            <w:tcW w:w="1985" w:type="dxa"/>
          </w:tcPr>
          <w:p w:rsidR="00A5520B" w:rsidRPr="006973B5" w:rsidRDefault="00A5520B" w:rsidP="00DA1A89">
            <w:pPr>
              <w:autoSpaceDE w:val="0"/>
              <w:autoSpaceDN w:val="0"/>
              <w:adjustRightInd w:val="0"/>
              <w:spacing w:line="276" w:lineRule="auto"/>
              <w:jc w:val="both"/>
              <w:rPr>
                <w:rFonts w:ascii="Times New Roman" w:hAnsi="Times New Roman" w:cs="Times New Roman"/>
                <w:b/>
                <w:bCs/>
                <w:sz w:val="28"/>
                <w:szCs w:val="28"/>
              </w:rPr>
            </w:pPr>
          </w:p>
        </w:tc>
        <w:tc>
          <w:tcPr>
            <w:tcW w:w="3543" w:type="dxa"/>
          </w:tcPr>
          <w:p w:rsidR="00A5520B" w:rsidRPr="006973B5" w:rsidRDefault="00A5520B" w:rsidP="00DA1A89">
            <w:pPr>
              <w:autoSpaceDE w:val="0"/>
              <w:autoSpaceDN w:val="0"/>
              <w:adjustRightInd w:val="0"/>
              <w:spacing w:line="276" w:lineRule="auto"/>
              <w:jc w:val="both"/>
              <w:rPr>
                <w:rFonts w:ascii="Times New Roman" w:hAnsi="Times New Roman" w:cs="Times New Roman"/>
                <w:b/>
                <w:bCs/>
                <w:sz w:val="28"/>
                <w:szCs w:val="28"/>
              </w:rPr>
            </w:pPr>
          </w:p>
        </w:tc>
        <w:tc>
          <w:tcPr>
            <w:tcW w:w="5039" w:type="dxa"/>
          </w:tcPr>
          <w:p w:rsidR="00A5520B" w:rsidRPr="006973B5" w:rsidRDefault="00A5520B" w:rsidP="00DA1A89">
            <w:pPr>
              <w:autoSpaceDE w:val="0"/>
              <w:autoSpaceDN w:val="0"/>
              <w:adjustRightInd w:val="0"/>
              <w:spacing w:line="276" w:lineRule="auto"/>
              <w:jc w:val="both"/>
              <w:rPr>
                <w:rFonts w:ascii="Times New Roman" w:hAnsi="Times New Roman" w:cs="Times New Roman"/>
                <w:b/>
                <w:bCs/>
                <w:sz w:val="28"/>
                <w:szCs w:val="28"/>
              </w:rPr>
            </w:pPr>
          </w:p>
        </w:tc>
      </w:tr>
    </w:tbl>
    <w:p w:rsidR="00A5520B" w:rsidRPr="006973B5" w:rsidRDefault="00E05DBD" w:rsidP="00E05DBD">
      <w:pPr>
        <w:autoSpaceDE w:val="0"/>
        <w:autoSpaceDN w:val="0"/>
        <w:adjustRightInd w:val="0"/>
        <w:spacing w:after="0" w:line="276" w:lineRule="auto"/>
        <w:rPr>
          <w:rFonts w:ascii="Times New Roman" w:hAnsi="Times New Roman" w:cs="Times New Roman"/>
          <w:sz w:val="24"/>
          <w:szCs w:val="24"/>
        </w:rPr>
      </w:pPr>
      <w:r w:rsidRPr="006973B5">
        <w:rPr>
          <w:rFonts w:ascii="Times New Roman" w:hAnsi="Times New Roman" w:cs="Times New Roman"/>
          <w:i/>
          <w:sz w:val="24"/>
          <w:szCs w:val="24"/>
          <w:u w:val="single"/>
        </w:rPr>
        <w:t>Source</w:t>
      </w:r>
      <w:r w:rsidRPr="006973B5">
        <w:rPr>
          <w:rFonts w:ascii="Times New Roman" w:hAnsi="Times New Roman" w:cs="Times New Roman"/>
          <w:i/>
          <w:sz w:val="24"/>
          <w:szCs w:val="24"/>
        </w:rPr>
        <w:t> : Rapport finale : étude diagnostique des secteurs économiques porteurs et espace économique partagés dans la région de Ségou, mars 2012, Assemblée régionale de Ségou.</w:t>
      </w:r>
    </w:p>
    <w:p w:rsidR="00747AFB" w:rsidRPr="006973B5" w:rsidRDefault="00747AFB" w:rsidP="00A42923">
      <w:pPr>
        <w:autoSpaceDE w:val="0"/>
        <w:autoSpaceDN w:val="0"/>
        <w:adjustRightInd w:val="0"/>
        <w:spacing w:after="0" w:line="276" w:lineRule="auto"/>
        <w:jc w:val="both"/>
        <w:rPr>
          <w:rFonts w:ascii="Times New Roman" w:hAnsi="Times New Roman" w:cs="Times New Roman"/>
          <w:sz w:val="24"/>
          <w:szCs w:val="24"/>
        </w:rPr>
      </w:pPr>
    </w:p>
    <w:p w:rsidR="00747AFB" w:rsidRPr="006973B5" w:rsidRDefault="00747AFB" w:rsidP="00A42923">
      <w:pPr>
        <w:autoSpaceDE w:val="0"/>
        <w:autoSpaceDN w:val="0"/>
        <w:adjustRightInd w:val="0"/>
        <w:spacing w:after="0" w:line="276" w:lineRule="auto"/>
        <w:jc w:val="both"/>
        <w:rPr>
          <w:rFonts w:ascii="Times New Roman" w:hAnsi="Times New Roman" w:cs="Times New Roman"/>
          <w:sz w:val="24"/>
          <w:szCs w:val="24"/>
        </w:rPr>
      </w:pPr>
    </w:p>
    <w:p w:rsidR="00747AFB" w:rsidRPr="006973B5" w:rsidRDefault="00747AFB" w:rsidP="00A42923">
      <w:pPr>
        <w:autoSpaceDE w:val="0"/>
        <w:autoSpaceDN w:val="0"/>
        <w:adjustRightInd w:val="0"/>
        <w:spacing w:after="0" w:line="276" w:lineRule="auto"/>
        <w:jc w:val="both"/>
        <w:rPr>
          <w:rFonts w:ascii="Times New Roman" w:hAnsi="Times New Roman" w:cs="Times New Roman"/>
          <w:sz w:val="24"/>
          <w:szCs w:val="24"/>
        </w:rPr>
      </w:pPr>
    </w:p>
    <w:p w:rsidR="00747AFB" w:rsidRPr="006973B5" w:rsidRDefault="00747AFB" w:rsidP="00A42923">
      <w:pPr>
        <w:autoSpaceDE w:val="0"/>
        <w:autoSpaceDN w:val="0"/>
        <w:adjustRightInd w:val="0"/>
        <w:spacing w:after="0" w:line="276" w:lineRule="auto"/>
        <w:jc w:val="both"/>
        <w:rPr>
          <w:rFonts w:ascii="Times New Roman" w:hAnsi="Times New Roman" w:cs="Times New Roman"/>
          <w:sz w:val="24"/>
          <w:szCs w:val="24"/>
        </w:rPr>
        <w:sectPr w:rsidR="00747AFB" w:rsidRPr="006973B5" w:rsidSect="00A5520B">
          <w:pgSz w:w="16838" w:h="11906" w:orient="landscape"/>
          <w:pgMar w:top="1134" w:right="1134" w:bottom="1134" w:left="1134" w:header="709" w:footer="709" w:gutter="0"/>
          <w:cols w:space="708"/>
          <w:docGrid w:linePitch="360"/>
        </w:sectPr>
      </w:pPr>
    </w:p>
    <w:p w:rsidR="00747AFB" w:rsidRPr="006973B5" w:rsidRDefault="00747AFB" w:rsidP="00A42923">
      <w:pPr>
        <w:autoSpaceDE w:val="0"/>
        <w:autoSpaceDN w:val="0"/>
        <w:adjustRightInd w:val="0"/>
        <w:spacing w:after="0" w:line="276" w:lineRule="auto"/>
        <w:jc w:val="both"/>
        <w:rPr>
          <w:rFonts w:ascii="Times New Roman" w:hAnsi="Times New Roman" w:cs="Times New Roman"/>
          <w:sz w:val="24"/>
          <w:szCs w:val="24"/>
        </w:rPr>
      </w:pPr>
    </w:p>
    <w:p w:rsidR="00747AFB" w:rsidRPr="006973B5" w:rsidRDefault="00747AFB" w:rsidP="00937EDF">
      <w:pPr>
        <w:pStyle w:val="Titre2"/>
        <w:numPr>
          <w:ilvl w:val="1"/>
          <w:numId w:val="14"/>
        </w:numPr>
        <w:rPr>
          <w:rFonts w:ascii="Times New Roman" w:hAnsi="Times New Roman" w:cs="Times New Roman"/>
          <w:b/>
          <w:color w:val="auto"/>
        </w:rPr>
      </w:pPr>
      <w:bookmarkStart w:id="65" w:name="_Toc516676429"/>
      <w:r w:rsidRPr="006973B5">
        <w:rPr>
          <w:rFonts w:ascii="Times New Roman" w:hAnsi="Times New Roman" w:cs="Times New Roman"/>
          <w:b/>
          <w:color w:val="auto"/>
        </w:rPr>
        <w:t>Analyse du marché local de la région de Mopti</w:t>
      </w:r>
      <w:bookmarkEnd w:id="65"/>
      <w:r w:rsidRPr="006973B5">
        <w:rPr>
          <w:rFonts w:ascii="Times New Roman" w:hAnsi="Times New Roman" w:cs="Times New Roman"/>
          <w:b/>
          <w:color w:val="auto"/>
        </w:rPr>
        <w:t xml:space="preserve"> </w:t>
      </w:r>
    </w:p>
    <w:p w:rsidR="00747AFB" w:rsidRPr="006973B5" w:rsidRDefault="00747AFB" w:rsidP="00747AFB">
      <w:pPr>
        <w:autoSpaceDE w:val="0"/>
        <w:autoSpaceDN w:val="0"/>
        <w:adjustRightInd w:val="0"/>
        <w:spacing w:after="0" w:line="276" w:lineRule="auto"/>
        <w:jc w:val="both"/>
        <w:rPr>
          <w:rFonts w:ascii="Times New Roman" w:hAnsi="Times New Roman" w:cs="Times New Roman"/>
          <w:sz w:val="24"/>
          <w:szCs w:val="24"/>
        </w:rPr>
      </w:pPr>
    </w:p>
    <w:p w:rsidR="00747AFB" w:rsidRPr="006973B5" w:rsidRDefault="00747AFB" w:rsidP="00937EDF">
      <w:pPr>
        <w:pStyle w:val="Paragraphedeliste"/>
        <w:numPr>
          <w:ilvl w:val="2"/>
          <w:numId w:val="14"/>
        </w:numPr>
        <w:autoSpaceDE w:val="0"/>
        <w:autoSpaceDN w:val="0"/>
        <w:adjustRightInd w:val="0"/>
        <w:spacing w:after="0" w:line="276" w:lineRule="auto"/>
        <w:jc w:val="both"/>
        <w:rPr>
          <w:rFonts w:ascii="Times New Roman" w:hAnsi="Times New Roman" w:cs="Times New Roman"/>
          <w:b/>
          <w:bCs/>
          <w:i/>
          <w:iCs/>
          <w:sz w:val="24"/>
          <w:szCs w:val="20"/>
        </w:rPr>
      </w:pPr>
      <w:r w:rsidRPr="006973B5">
        <w:rPr>
          <w:rFonts w:ascii="Times New Roman" w:hAnsi="Times New Roman" w:cs="Times New Roman"/>
          <w:b/>
          <w:bCs/>
          <w:i/>
          <w:iCs/>
          <w:sz w:val="24"/>
          <w:szCs w:val="20"/>
        </w:rPr>
        <w:t>Les potentialités économiques de la région de Mopti</w:t>
      </w:r>
    </w:p>
    <w:p w:rsidR="00747AFB" w:rsidRPr="006973B5" w:rsidRDefault="00747AFB" w:rsidP="00747AFB">
      <w:pPr>
        <w:pStyle w:val="Paragraphedeliste"/>
        <w:autoSpaceDE w:val="0"/>
        <w:autoSpaceDN w:val="0"/>
        <w:adjustRightInd w:val="0"/>
        <w:spacing w:after="0" w:line="276" w:lineRule="auto"/>
        <w:jc w:val="both"/>
        <w:rPr>
          <w:rFonts w:ascii="Times New Roman" w:hAnsi="Times New Roman" w:cs="Times New Roman"/>
          <w:b/>
          <w:bCs/>
          <w:iCs/>
          <w:sz w:val="24"/>
          <w:szCs w:val="20"/>
        </w:rPr>
      </w:pPr>
    </w:p>
    <w:p w:rsidR="00747AFB" w:rsidRPr="006973B5" w:rsidRDefault="00747AFB" w:rsidP="00DA1A89">
      <w:pPr>
        <w:autoSpaceDE w:val="0"/>
        <w:autoSpaceDN w:val="0"/>
        <w:adjustRightInd w:val="0"/>
        <w:spacing w:after="0" w:line="240" w:lineRule="auto"/>
        <w:jc w:val="both"/>
        <w:rPr>
          <w:rFonts w:ascii="Times New Roman" w:hAnsi="Times New Roman" w:cs="Times New Roman"/>
          <w:sz w:val="24"/>
          <w:szCs w:val="24"/>
        </w:rPr>
      </w:pPr>
      <w:r w:rsidRPr="006973B5">
        <w:rPr>
          <w:rFonts w:ascii="Times New Roman" w:hAnsi="Times New Roman" w:cs="Times New Roman"/>
          <w:sz w:val="24"/>
          <w:szCs w:val="24"/>
        </w:rPr>
        <w:t>La région de Mopti couvre une superficie 79.017 km². Il est limité au Nord par la région de</w:t>
      </w:r>
      <w:r w:rsidR="00DA1A89" w:rsidRPr="006973B5">
        <w:rPr>
          <w:rFonts w:ascii="Times New Roman" w:hAnsi="Times New Roman" w:cs="Times New Roman"/>
          <w:sz w:val="24"/>
          <w:szCs w:val="24"/>
        </w:rPr>
        <w:t xml:space="preserve"> </w:t>
      </w:r>
      <w:r w:rsidRPr="006973B5">
        <w:rPr>
          <w:rFonts w:ascii="Times New Roman" w:hAnsi="Times New Roman" w:cs="Times New Roman"/>
          <w:sz w:val="24"/>
          <w:szCs w:val="24"/>
        </w:rPr>
        <w:t xml:space="preserve">Tombouctou, au Sud et à l’Ouest par la région de Ségou et à l’Est et au Sud-est par le Burkina Faso. Sa population en 2017 est estimée à 2 645 353 habitants, dont 298 205 jeunes âgés de 15 </w:t>
      </w:r>
      <w:r w:rsidR="001E4F9C" w:rsidRPr="006973B5">
        <w:rPr>
          <w:rFonts w:ascii="Times New Roman" w:hAnsi="Times New Roman" w:cs="Times New Roman"/>
          <w:sz w:val="24"/>
          <w:szCs w:val="24"/>
        </w:rPr>
        <w:t>à 24 ans, soit 11</w:t>
      </w:r>
      <w:r w:rsidR="009A1032" w:rsidRPr="006973B5">
        <w:rPr>
          <w:rFonts w:ascii="Times New Roman" w:hAnsi="Times New Roman" w:cs="Times New Roman"/>
          <w:sz w:val="24"/>
          <w:szCs w:val="24"/>
        </w:rPr>
        <w:t>,2% de la population totale.</w:t>
      </w:r>
    </w:p>
    <w:p w:rsidR="009A1032" w:rsidRPr="006973B5" w:rsidRDefault="009A1032" w:rsidP="00747AFB">
      <w:pPr>
        <w:autoSpaceDE w:val="0"/>
        <w:autoSpaceDN w:val="0"/>
        <w:adjustRightInd w:val="0"/>
        <w:spacing w:after="0" w:line="240" w:lineRule="auto"/>
        <w:rPr>
          <w:rFonts w:ascii="Times New Roman" w:hAnsi="Times New Roman" w:cs="Times New Roman"/>
          <w:sz w:val="24"/>
          <w:szCs w:val="24"/>
        </w:rPr>
      </w:pPr>
    </w:p>
    <w:p w:rsidR="00DA1A89" w:rsidRPr="006973B5" w:rsidRDefault="00DA1A89" w:rsidP="00DA1A89">
      <w:pPr>
        <w:autoSpaceDE w:val="0"/>
        <w:autoSpaceDN w:val="0"/>
        <w:adjustRightInd w:val="0"/>
        <w:spacing w:after="0" w:line="240" w:lineRule="auto"/>
        <w:jc w:val="both"/>
        <w:rPr>
          <w:rFonts w:ascii="Times New Roman" w:hAnsi="Times New Roman" w:cs="Times New Roman"/>
          <w:sz w:val="24"/>
          <w:szCs w:val="24"/>
        </w:rPr>
      </w:pPr>
      <w:r w:rsidRPr="006973B5">
        <w:rPr>
          <w:rFonts w:ascii="Times New Roman" w:hAnsi="Times New Roman" w:cs="Times New Roman"/>
          <w:sz w:val="24"/>
          <w:szCs w:val="24"/>
        </w:rPr>
        <w:t xml:space="preserve">Le secteur primaire </w:t>
      </w:r>
      <w:r w:rsidR="0061760A" w:rsidRPr="006973B5">
        <w:rPr>
          <w:rFonts w:ascii="Times New Roman" w:hAnsi="Times New Roman" w:cs="Times New Roman"/>
          <w:sz w:val="24"/>
          <w:szCs w:val="24"/>
        </w:rPr>
        <w:t xml:space="preserve">(agriculture, élevage et pêche) </w:t>
      </w:r>
      <w:r w:rsidR="0064075C" w:rsidRPr="006973B5">
        <w:rPr>
          <w:rFonts w:ascii="Times New Roman" w:hAnsi="Times New Roman" w:cs="Times New Roman"/>
          <w:sz w:val="24"/>
          <w:szCs w:val="24"/>
        </w:rPr>
        <w:t>domine</w:t>
      </w:r>
      <w:r w:rsidRPr="006973B5">
        <w:rPr>
          <w:rFonts w:ascii="Times New Roman" w:hAnsi="Times New Roman" w:cs="Times New Roman"/>
          <w:sz w:val="24"/>
          <w:szCs w:val="24"/>
        </w:rPr>
        <w:t xml:space="preserve"> les activités économiques de la région. </w:t>
      </w:r>
      <w:r w:rsidR="003E30B9" w:rsidRPr="006973B5">
        <w:rPr>
          <w:rFonts w:ascii="Times New Roman" w:hAnsi="Times New Roman" w:cs="Times New Roman"/>
          <w:sz w:val="24"/>
          <w:szCs w:val="24"/>
        </w:rPr>
        <w:t xml:space="preserve">Il faut reconnaitre que </w:t>
      </w:r>
      <w:r w:rsidR="00683CEE" w:rsidRPr="006973B5">
        <w:rPr>
          <w:rFonts w:ascii="Times New Roman" w:hAnsi="Times New Roman" w:cs="Times New Roman"/>
          <w:sz w:val="24"/>
          <w:szCs w:val="24"/>
        </w:rPr>
        <w:t xml:space="preserve">ces dernières </w:t>
      </w:r>
      <w:r w:rsidRPr="006973B5">
        <w:rPr>
          <w:rFonts w:ascii="Times New Roman" w:hAnsi="Times New Roman" w:cs="Times New Roman"/>
          <w:sz w:val="24"/>
          <w:szCs w:val="24"/>
        </w:rPr>
        <w:t xml:space="preserve">sont </w:t>
      </w:r>
      <w:r w:rsidR="001E4F9C" w:rsidRPr="006973B5">
        <w:rPr>
          <w:rFonts w:ascii="Times New Roman" w:hAnsi="Times New Roman" w:cs="Times New Roman"/>
          <w:sz w:val="24"/>
          <w:szCs w:val="24"/>
        </w:rPr>
        <w:t xml:space="preserve">fortement liées aux </w:t>
      </w:r>
      <w:r w:rsidRPr="006973B5">
        <w:rPr>
          <w:rFonts w:ascii="Times New Roman" w:hAnsi="Times New Roman" w:cs="Times New Roman"/>
          <w:sz w:val="24"/>
          <w:szCs w:val="24"/>
        </w:rPr>
        <w:t>variations climatiques</w:t>
      </w:r>
      <w:r w:rsidR="001E4F9C" w:rsidRPr="006973B5">
        <w:rPr>
          <w:rFonts w:ascii="Times New Roman" w:hAnsi="Times New Roman" w:cs="Times New Roman"/>
          <w:sz w:val="24"/>
          <w:szCs w:val="24"/>
        </w:rPr>
        <w:t xml:space="preserve">. En plus du secteur primaire, le tourisme et l’artisanat occupent </w:t>
      </w:r>
      <w:r w:rsidR="00B722A1" w:rsidRPr="006973B5">
        <w:rPr>
          <w:rFonts w:ascii="Times New Roman" w:hAnsi="Times New Roman" w:cs="Times New Roman"/>
          <w:sz w:val="24"/>
          <w:szCs w:val="24"/>
        </w:rPr>
        <w:t>une partie importante de la population.</w:t>
      </w:r>
      <w:r w:rsidR="001E4F9C" w:rsidRPr="006973B5">
        <w:rPr>
          <w:rFonts w:ascii="Times New Roman" w:hAnsi="Times New Roman" w:cs="Times New Roman"/>
          <w:sz w:val="24"/>
          <w:szCs w:val="24"/>
        </w:rPr>
        <w:t xml:space="preserve"> </w:t>
      </w:r>
    </w:p>
    <w:p w:rsidR="00DA1A89" w:rsidRPr="006973B5" w:rsidRDefault="00DA1A89" w:rsidP="00DA1A89">
      <w:pPr>
        <w:autoSpaceDE w:val="0"/>
        <w:autoSpaceDN w:val="0"/>
        <w:adjustRightInd w:val="0"/>
        <w:spacing w:after="0" w:line="240" w:lineRule="auto"/>
        <w:jc w:val="both"/>
        <w:rPr>
          <w:rFonts w:ascii="Times New Roman" w:hAnsi="Times New Roman" w:cs="Times New Roman"/>
          <w:sz w:val="24"/>
          <w:szCs w:val="24"/>
        </w:rPr>
        <w:sectPr w:rsidR="00DA1A89" w:rsidRPr="006973B5" w:rsidSect="00747AFB">
          <w:pgSz w:w="11906" w:h="16838"/>
          <w:pgMar w:top="1134" w:right="1134" w:bottom="1134" w:left="1134" w:header="709" w:footer="709" w:gutter="0"/>
          <w:cols w:space="708"/>
          <w:docGrid w:linePitch="360"/>
        </w:sectPr>
      </w:pPr>
    </w:p>
    <w:p w:rsidR="009A1032" w:rsidRPr="006973B5" w:rsidRDefault="009A1032" w:rsidP="00747AFB">
      <w:pPr>
        <w:autoSpaceDE w:val="0"/>
        <w:autoSpaceDN w:val="0"/>
        <w:adjustRightInd w:val="0"/>
        <w:spacing w:after="0" w:line="240" w:lineRule="auto"/>
        <w:rPr>
          <w:rFonts w:ascii="Times New Roman" w:hAnsi="Times New Roman" w:cs="Times New Roman"/>
          <w:sz w:val="24"/>
          <w:szCs w:val="24"/>
        </w:rPr>
      </w:pPr>
    </w:p>
    <w:p w:rsidR="00DA1A89" w:rsidRPr="006973B5" w:rsidRDefault="00DA1A89" w:rsidP="00937EDF">
      <w:pPr>
        <w:pStyle w:val="Paragraphedeliste"/>
        <w:numPr>
          <w:ilvl w:val="2"/>
          <w:numId w:val="14"/>
        </w:numPr>
        <w:rPr>
          <w:rFonts w:ascii="Times New Roman" w:hAnsi="Times New Roman" w:cs="Times New Roman"/>
          <w:b/>
          <w:bCs/>
          <w:i/>
          <w:iCs/>
          <w:sz w:val="24"/>
          <w:szCs w:val="20"/>
        </w:rPr>
      </w:pPr>
      <w:r w:rsidRPr="006973B5">
        <w:rPr>
          <w:rFonts w:ascii="Times New Roman" w:hAnsi="Times New Roman" w:cs="Times New Roman"/>
          <w:b/>
          <w:bCs/>
          <w:i/>
          <w:iCs/>
          <w:sz w:val="24"/>
          <w:szCs w:val="20"/>
        </w:rPr>
        <w:t>Les filières porteuses de la région</w:t>
      </w:r>
    </w:p>
    <w:tbl>
      <w:tblPr>
        <w:tblStyle w:val="Grilledutableau"/>
        <w:tblW w:w="14802" w:type="dxa"/>
        <w:tblLook w:val="04A0" w:firstRow="1" w:lastRow="0" w:firstColumn="1" w:lastColumn="0" w:noHBand="0" w:noVBand="1"/>
      </w:tblPr>
      <w:tblGrid>
        <w:gridCol w:w="1655"/>
        <w:gridCol w:w="2651"/>
        <w:gridCol w:w="2210"/>
        <w:gridCol w:w="3441"/>
        <w:gridCol w:w="4845"/>
      </w:tblGrid>
      <w:tr w:rsidR="00DA1A89" w:rsidRPr="006973B5" w:rsidTr="00AD4D0A">
        <w:trPr>
          <w:trHeight w:val="176"/>
          <w:tblHeader/>
        </w:trPr>
        <w:tc>
          <w:tcPr>
            <w:tcW w:w="1655" w:type="dxa"/>
          </w:tcPr>
          <w:p w:rsidR="00DA1A89" w:rsidRPr="006973B5" w:rsidRDefault="00DA1A89" w:rsidP="00DA1A89">
            <w:pPr>
              <w:autoSpaceDE w:val="0"/>
              <w:autoSpaceDN w:val="0"/>
              <w:adjustRightInd w:val="0"/>
              <w:spacing w:line="276" w:lineRule="auto"/>
              <w:jc w:val="both"/>
              <w:rPr>
                <w:rFonts w:ascii="Times New Roman" w:hAnsi="Times New Roman" w:cs="Times New Roman"/>
                <w:b/>
                <w:sz w:val="28"/>
                <w:szCs w:val="28"/>
              </w:rPr>
            </w:pPr>
            <w:r w:rsidRPr="006973B5">
              <w:rPr>
                <w:rFonts w:ascii="Times New Roman" w:hAnsi="Times New Roman" w:cs="Times New Roman"/>
                <w:b/>
                <w:sz w:val="28"/>
                <w:szCs w:val="28"/>
              </w:rPr>
              <w:t>Grande famille</w:t>
            </w:r>
          </w:p>
        </w:tc>
        <w:tc>
          <w:tcPr>
            <w:tcW w:w="2651" w:type="dxa"/>
          </w:tcPr>
          <w:p w:rsidR="00DA1A89" w:rsidRPr="006973B5" w:rsidRDefault="00DA1A89" w:rsidP="00DA1A89">
            <w:pPr>
              <w:autoSpaceDE w:val="0"/>
              <w:autoSpaceDN w:val="0"/>
              <w:adjustRightInd w:val="0"/>
              <w:spacing w:line="276" w:lineRule="auto"/>
              <w:jc w:val="both"/>
              <w:rPr>
                <w:rFonts w:ascii="Times New Roman" w:hAnsi="Times New Roman" w:cs="Times New Roman"/>
                <w:sz w:val="28"/>
                <w:szCs w:val="28"/>
              </w:rPr>
            </w:pPr>
            <w:r w:rsidRPr="006973B5">
              <w:rPr>
                <w:rFonts w:ascii="Times New Roman" w:hAnsi="Times New Roman" w:cs="Times New Roman"/>
                <w:b/>
                <w:bCs/>
                <w:sz w:val="28"/>
                <w:szCs w:val="28"/>
              </w:rPr>
              <w:t>Principales filières</w:t>
            </w:r>
          </w:p>
        </w:tc>
        <w:tc>
          <w:tcPr>
            <w:tcW w:w="2210" w:type="dxa"/>
          </w:tcPr>
          <w:p w:rsidR="00DA1A89" w:rsidRPr="006973B5" w:rsidRDefault="00DA1A89" w:rsidP="00DA1A89">
            <w:pPr>
              <w:autoSpaceDE w:val="0"/>
              <w:autoSpaceDN w:val="0"/>
              <w:adjustRightInd w:val="0"/>
              <w:spacing w:line="276" w:lineRule="auto"/>
              <w:jc w:val="both"/>
              <w:rPr>
                <w:rFonts w:ascii="Times New Roman" w:hAnsi="Times New Roman" w:cs="Times New Roman"/>
                <w:sz w:val="28"/>
                <w:szCs w:val="28"/>
              </w:rPr>
            </w:pPr>
            <w:r w:rsidRPr="006973B5">
              <w:rPr>
                <w:rFonts w:ascii="Times New Roman" w:hAnsi="Times New Roman" w:cs="Times New Roman"/>
                <w:b/>
                <w:bCs/>
                <w:sz w:val="28"/>
                <w:szCs w:val="28"/>
              </w:rPr>
              <w:t xml:space="preserve">Potentialités </w:t>
            </w:r>
          </w:p>
        </w:tc>
        <w:tc>
          <w:tcPr>
            <w:tcW w:w="3441" w:type="dxa"/>
          </w:tcPr>
          <w:p w:rsidR="00DA1A89" w:rsidRPr="006973B5" w:rsidRDefault="00DA1A89" w:rsidP="00DA1A89">
            <w:pPr>
              <w:autoSpaceDE w:val="0"/>
              <w:autoSpaceDN w:val="0"/>
              <w:adjustRightInd w:val="0"/>
              <w:spacing w:line="276" w:lineRule="auto"/>
              <w:jc w:val="both"/>
              <w:rPr>
                <w:rFonts w:ascii="Times New Roman" w:hAnsi="Times New Roman" w:cs="Times New Roman"/>
                <w:b/>
                <w:bCs/>
                <w:sz w:val="28"/>
                <w:szCs w:val="28"/>
              </w:rPr>
            </w:pPr>
            <w:r w:rsidRPr="006973B5">
              <w:rPr>
                <w:rFonts w:ascii="Times New Roman" w:hAnsi="Times New Roman" w:cs="Times New Roman"/>
                <w:b/>
                <w:bCs/>
                <w:sz w:val="28"/>
                <w:szCs w:val="28"/>
              </w:rPr>
              <w:t>Contraintes</w:t>
            </w:r>
          </w:p>
        </w:tc>
        <w:tc>
          <w:tcPr>
            <w:tcW w:w="4845" w:type="dxa"/>
          </w:tcPr>
          <w:p w:rsidR="00DA1A89" w:rsidRPr="006973B5" w:rsidRDefault="00DA1A89" w:rsidP="00DA1A89">
            <w:pPr>
              <w:autoSpaceDE w:val="0"/>
              <w:autoSpaceDN w:val="0"/>
              <w:adjustRightInd w:val="0"/>
              <w:spacing w:line="276" w:lineRule="auto"/>
              <w:jc w:val="both"/>
              <w:rPr>
                <w:rFonts w:ascii="Times New Roman" w:hAnsi="Times New Roman" w:cs="Times New Roman"/>
                <w:sz w:val="28"/>
                <w:szCs w:val="28"/>
              </w:rPr>
            </w:pPr>
            <w:r w:rsidRPr="006973B5">
              <w:rPr>
                <w:rFonts w:ascii="Times New Roman" w:hAnsi="Times New Roman" w:cs="Times New Roman"/>
                <w:b/>
                <w:bCs/>
                <w:sz w:val="28"/>
                <w:szCs w:val="28"/>
              </w:rPr>
              <w:t>Actions devant être entreprises pour créer des emplois et développer la filière</w:t>
            </w:r>
          </w:p>
        </w:tc>
      </w:tr>
      <w:tr w:rsidR="00321C68" w:rsidRPr="006973B5" w:rsidTr="00AD4D0A">
        <w:trPr>
          <w:trHeight w:val="176"/>
        </w:trPr>
        <w:tc>
          <w:tcPr>
            <w:tcW w:w="1655" w:type="dxa"/>
          </w:tcPr>
          <w:p w:rsidR="00321C68" w:rsidRPr="006973B5" w:rsidRDefault="00321C68" w:rsidP="00DA1A89">
            <w:pPr>
              <w:autoSpaceDE w:val="0"/>
              <w:autoSpaceDN w:val="0"/>
              <w:adjustRightInd w:val="0"/>
              <w:rPr>
                <w:rFonts w:ascii="Times New Roman" w:hAnsi="Times New Roman" w:cs="Times New Roman"/>
                <w:b/>
                <w:sz w:val="28"/>
                <w:szCs w:val="28"/>
              </w:rPr>
            </w:pPr>
            <w:r w:rsidRPr="006973B5">
              <w:rPr>
                <w:rFonts w:ascii="Times New Roman" w:hAnsi="Times New Roman" w:cs="Times New Roman"/>
                <w:b/>
                <w:bCs/>
              </w:rPr>
              <w:t>Elevage</w:t>
            </w:r>
          </w:p>
        </w:tc>
        <w:tc>
          <w:tcPr>
            <w:tcW w:w="2651" w:type="dxa"/>
          </w:tcPr>
          <w:p w:rsidR="00321C68" w:rsidRPr="006973B5" w:rsidRDefault="00321C68" w:rsidP="00DA1A89">
            <w:pPr>
              <w:autoSpaceDE w:val="0"/>
              <w:autoSpaceDN w:val="0"/>
              <w:adjustRightInd w:val="0"/>
              <w:spacing w:line="276" w:lineRule="auto"/>
              <w:jc w:val="both"/>
              <w:rPr>
                <w:rFonts w:ascii="Times New Roman" w:hAnsi="Times New Roman" w:cs="Times New Roman"/>
                <w:b/>
                <w:bCs/>
                <w:sz w:val="28"/>
                <w:szCs w:val="28"/>
              </w:rPr>
            </w:pPr>
            <w:r w:rsidRPr="006973B5">
              <w:rPr>
                <w:rFonts w:ascii="Times New Roman" w:hAnsi="Times New Roman" w:cs="Times New Roman"/>
              </w:rPr>
              <w:t>Filière bétail/viande</w:t>
            </w:r>
            <w:r w:rsidR="00CA2B7B" w:rsidRPr="006973B5">
              <w:rPr>
                <w:rFonts w:ascii="Times New Roman" w:hAnsi="Times New Roman" w:cs="Times New Roman"/>
              </w:rPr>
              <w:t xml:space="preserve"> et lait, cuirs et peaux</w:t>
            </w:r>
          </w:p>
        </w:tc>
        <w:tc>
          <w:tcPr>
            <w:tcW w:w="2210" w:type="dxa"/>
          </w:tcPr>
          <w:p w:rsidR="00321C68" w:rsidRPr="006973B5" w:rsidRDefault="00CA2B7B" w:rsidP="00CA2B7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Les principales potentialités de ces filières issues de l’élevage sont constituées par les abondantes ressources fourragères du Delta intérieur du Niger en particulier le « bourgou » qui est appété par le bétail. </w:t>
            </w:r>
          </w:p>
        </w:tc>
        <w:tc>
          <w:tcPr>
            <w:tcW w:w="3441" w:type="dxa"/>
          </w:tcPr>
          <w:p w:rsidR="00CA2B7B" w:rsidRPr="006973B5" w:rsidRDefault="00CA2B7B" w:rsidP="005B577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réduction progressive de l’espace pastoral ;</w:t>
            </w:r>
          </w:p>
          <w:p w:rsidR="00CA2B7B" w:rsidRPr="006973B5" w:rsidRDefault="00CA2B7B" w:rsidP="005B577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insuffisance des pâturages, des aliments de bétail et des points d’eau pour survenir aux besoins d’un cheptel de plus en plus important ;</w:t>
            </w:r>
          </w:p>
          <w:p w:rsidR="00CA2B7B" w:rsidRPr="006973B5" w:rsidRDefault="00CA2B7B" w:rsidP="005B577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caractère traditionnel et extensif de l’élevage et pratique d’un élevage de prestige ;</w:t>
            </w:r>
          </w:p>
          <w:p w:rsidR="00CA2B7B" w:rsidRPr="006973B5" w:rsidRDefault="00CA2B7B" w:rsidP="005B577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insuffisance de terres pour l’aménagement de zones pastorales ;</w:t>
            </w:r>
          </w:p>
          <w:p w:rsidR="00CA2B7B" w:rsidRPr="006973B5" w:rsidRDefault="00CA2B7B" w:rsidP="005B577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faible niveau d’organisation des éleveurs et des autres acteurs de la filière ;</w:t>
            </w:r>
          </w:p>
          <w:p w:rsidR="00CA2B7B" w:rsidRPr="006973B5" w:rsidRDefault="00CA2B7B" w:rsidP="005B577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diminution des pâturages à la suite des défrichements ;</w:t>
            </w:r>
          </w:p>
          <w:p w:rsidR="00CA2B7B" w:rsidRPr="006973B5" w:rsidRDefault="00CA2B7B" w:rsidP="005B577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mise en culture des pistes de transhumance et des accès aux points d’eau ;</w:t>
            </w:r>
          </w:p>
          <w:p w:rsidR="00321C68" w:rsidRPr="006973B5" w:rsidRDefault="00CA2B7B" w:rsidP="005B577C">
            <w:pPr>
              <w:autoSpaceDE w:val="0"/>
              <w:autoSpaceDN w:val="0"/>
              <w:adjustRightInd w:val="0"/>
              <w:spacing w:line="276" w:lineRule="auto"/>
              <w:rPr>
                <w:rFonts w:ascii="Times New Roman" w:hAnsi="Times New Roman" w:cs="Times New Roman"/>
                <w:sz w:val="20"/>
                <w:szCs w:val="24"/>
              </w:rPr>
            </w:pPr>
            <w:r w:rsidRPr="006973B5">
              <w:rPr>
                <w:rFonts w:ascii="Times New Roman" w:hAnsi="Times New Roman" w:cs="Times New Roman"/>
                <w:sz w:val="20"/>
                <w:szCs w:val="24"/>
              </w:rPr>
              <w:t>- aléas climatiques, dégradation des écosystèmes et récurrence des épizooties</w:t>
            </w:r>
          </w:p>
        </w:tc>
        <w:tc>
          <w:tcPr>
            <w:tcW w:w="4845" w:type="dxa"/>
          </w:tcPr>
          <w:p w:rsidR="009100FB" w:rsidRPr="006973B5" w:rsidRDefault="009100FB" w:rsidP="009100F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la promotion des aménagements pastoraux, </w:t>
            </w:r>
          </w:p>
          <w:p w:rsidR="009100FB" w:rsidRPr="006973B5" w:rsidRDefault="009100FB" w:rsidP="009100F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la préservation des ressources fourragères en particulier les bourgoutières », </w:t>
            </w:r>
          </w:p>
          <w:p w:rsidR="009100FB" w:rsidRPr="006973B5" w:rsidRDefault="009100FB" w:rsidP="009100FB">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formation et l’appui-conseil au profit des éleveurs. Il nécessitera également l’appui à la santé animale par le renforcement des services vétérinaires, la gestion et la sécurisation des aménagements et parcours pastoraux, ainsi que le développement des activités de recherche. Ces actions devront être précédées par l’organisation et le</w:t>
            </w:r>
          </w:p>
          <w:p w:rsidR="00321C68" w:rsidRPr="006973B5" w:rsidRDefault="009100FB" w:rsidP="009100FB">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renforcement des capacités des éleveurs.</w:t>
            </w:r>
          </w:p>
        </w:tc>
      </w:tr>
      <w:tr w:rsidR="00CB3462" w:rsidRPr="006973B5" w:rsidTr="00AD4D0A">
        <w:trPr>
          <w:trHeight w:val="176"/>
        </w:trPr>
        <w:tc>
          <w:tcPr>
            <w:tcW w:w="1655" w:type="dxa"/>
            <w:vMerge w:val="restart"/>
          </w:tcPr>
          <w:p w:rsidR="00CB3462" w:rsidRPr="006973B5" w:rsidRDefault="00CB3462" w:rsidP="00DA1A89">
            <w:pPr>
              <w:autoSpaceDE w:val="0"/>
              <w:autoSpaceDN w:val="0"/>
              <w:adjustRightInd w:val="0"/>
              <w:spacing w:line="276" w:lineRule="auto"/>
              <w:jc w:val="both"/>
              <w:rPr>
                <w:rFonts w:ascii="Times New Roman" w:hAnsi="Times New Roman" w:cs="Times New Roman"/>
                <w:b/>
                <w:bCs/>
              </w:rPr>
            </w:pPr>
            <w:r w:rsidRPr="006973B5">
              <w:rPr>
                <w:rFonts w:ascii="Times New Roman" w:hAnsi="Times New Roman" w:cs="Times New Roman"/>
                <w:b/>
                <w:bCs/>
              </w:rPr>
              <w:t>Agriculture</w:t>
            </w:r>
          </w:p>
        </w:tc>
        <w:tc>
          <w:tcPr>
            <w:tcW w:w="2651" w:type="dxa"/>
          </w:tcPr>
          <w:p w:rsidR="00CB3462" w:rsidRPr="006973B5" w:rsidRDefault="00CB3462" w:rsidP="00DA1A89">
            <w:pPr>
              <w:autoSpaceDE w:val="0"/>
              <w:autoSpaceDN w:val="0"/>
              <w:adjustRightInd w:val="0"/>
              <w:spacing w:line="276" w:lineRule="auto"/>
              <w:jc w:val="both"/>
              <w:rPr>
                <w:rFonts w:ascii="Times New Roman" w:hAnsi="Times New Roman" w:cs="Times New Roman"/>
                <w:sz w:val="20"/>
                <w:szCs w:val="20"/>
              </w:rPr>
            </w:pPr>
            <w:r w:rsidRPr="006973B5">
              <w:rPr>
                <w:rFonts w:ascii="Times New Roman" w:hAnsi="Times New Roman" w:cs="Times New Roman"/>
              </w:rPr>
              <w:t>Filière riz</w:t>
            </w:r>
          </w:p>
        </w:tc>
        <w:tc>
          <w:tcPr>
            <w:tcW w:w="2210" w:type="dxa"/>
          </w:tcPr>
          <w:p w:rsidR="007418B7"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La région de Mopti possède 40% de la superficie nationale cultivée en riz. La riziculture bénéficie également dans la région de conditions agro-climatiques et hydrauliques favorables</w:t>
            </w:r>
          </w:p>
          <w:p w:rsidR="00CB3462"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avec la présence de terres cultivables et de cours d’eau</w:t>
            </w:r>
          </w:p>
        </w:tc>
        <w:tc>
          <w:tcPr>
            <w:tcW w:w="3441" w:type="dxa"/>
          </w:tcPr>
          <w:p w:rsidR="007418B7"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fragilité de l’écosystème, faible maîtrise de l’eau, dégradation des ressources naturelles et</w:t>
            </w:r>
          </w:p>
          <w:p w:rsidR="00CB3462"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aléas climatiques</w:t>
            </w:r>
          </w:p>
          <w:p w:rsidR="007418B7"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insuffisance des ressources matérielles et humaines pour la protection de</w:t>
            </w:r>
          </w:p>
          <w:p w:rsidR="007418B7"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l’environnement, prévalence des oiseaux granivores et mauvaise gestion des</w:t>
            </w:r>
          </w:p>
          <w:p w:rsidR="007418B7"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aménagements hydro agricoles ;</w:t>
            </w:r>
          </w:p>
          <w:p w:rsidR="007418B7"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 problème foncier caractérisé par des conflits entre producteurs et faible niveau</w:t>
            </w:r>
          </w:p>
          <w:p w:rsidR="007418B7"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d’aménagement ;</w:t>
            </w:r>
          </w:p>
          <w:p w:rsidR="007418B7"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faible niveau d’organisation des producteurs, insuffisance de personnels d’appui et</w:t>
            </w:r>
            <w:r w:rsidR="00ED7153" w:rsidRPr="006973B5">
              <w:rPr>
                <w:rFonts w:ascii="Times New Roman" w:hAnsi="Times New Roman" w:cs="Times New Roman"/>
                <w:sz w:val="20"/>
                <w:szCs w:val="24"/>
              </w:rPr>
              <w:t xml:space="preserve"> </w:t>
            </w:r>
            <w:r w:rsidRPr="006973B5">
              <w:rPr>
                <w:rFonts w:ascii="Times New Roman" w:hAnsi="Times New Roman" w:cs="Times New Roman"/>
                <w:sz w:val="20"/>
                <w:szCs w:val="24"/>
              </w:rPr>
              <w:t>d’encadrement, mauvaise coordination des différentes interventions ;</w:t>
            </w:r>
          </w:p>
          <w:p w:rsidR="007418B7"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insuffisance des unités de transformation de la production locale, enclavement des zones</w:t>
            </w:r>
          </w:p>
          <w:p w:rsidR="007418B7"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de production, faible structuration des filières agricoles et coûts d’exploitation élevés des</w:t>
            </w:r>
          </w:p>
          <w:p w:rsidR="007418B7"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aménagements hydro agricoles.</w:t>
            </w:r>
          </w:p>
        </w:tc>
        <w:tc>
          <w:tcPr>
            <w:tcW w:w="4845" w:type="dxa"/>
          </w:tcPr>
          <w:p w:rsidR="007418B7"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Le défi consistera dès lors à promouvoir la modernisation des systèmes d’exploitation des</w:t>
            </w:r>
          </w:p>
          <w:p w:rsidR="007418B7"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terres. Le développement de cette filière passe aussi par l’intensification des systèmes de</w:t>
            </w:r>
          </w:p>
          <w:p w:rsidR="007418B7"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production agricole, la promotion de la transformation des produits locaux et la mise en place</w:t>
            </w:r>
          </w:p>
          <w:p w:rsidR="007418B7"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d’un système de crédit agricole (matériels agricoles, intrants, etc.) accessible aux agriculteurs</w:t>
            </w:r>
          </w:p>
          <w:p w:rsidR="007418B7"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étant donné la faiblesse de leurs revenus. Cette option nécessitera également la création</w:t>
            </w:r>
          </w:p>
          <w:p w:rsidR="007418B7"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d’infrastructures de conservation, de conditionnement et de transformation des produits</w:t>
            </w:r>
            <w:r w:rsidR="00ED7153" w:rsidRPr="006973B5">
              <w:rPr>
                <w:rFonts w:ascii="Times New Roman" w:hAnsi="Times New Roman" w:cs="Times New Roman"/>
                <w:sz w:val="20"/>
                <w:szCs w:val="24"/>
              </w:rPr>
              <w:t xml:space="preserve"> </w:t>
            </w:r>
            <w:r w:rsidRPr="006973B5">
              <w:rPr>
                <w:rFonts w:ascii="Times New Roman" w:hAnsi="Times New Roman" w:cs="Times New Roman"/>
                <w:sz w:val="20"/>
                <w:szCs w:val="24"/>
              </w:rPr>
              <w:t>agricoles, l’équipement et la formation des producteurs, ainsi que leur organisation et le</w:t>
            </w:r>
          </w:p>
          <w:p w:rsidR="00CB3462" w:rsidRPr="006973B5" w:rsidRDefault="007418B7" w:rsidP="007418B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renforcement de leur capacité.</w:t>
            </w:r>
          </w:p>
        </w:tc>
      </w:tr>
      <w:tr w:rsidR="00CB3462" w:rsidRPr="006973B5" w:rsidTr="00AD4D0A">
        <w:trPr>
          <w:trHeight w:val="176"/>
        </w:trPr>
        <w:tc>
          <w:tcPr>
            <w:tcW w:w="1655" w:type="dxa"/>
            <w:vMerge/>
          </w:tcPr>
          <w:p w:rsidR="00CB3462" w:rsidRPr="006973B5" w:rsidRDefault="00CB3462" w:rsidP="00DA1A89">
            <w:pPr>
              <w:autoSpaceDE w:val="0"/>
              <w:autoSpaceDN w:val="0"/>
              <w:adjustRightInd w:val="0"/>
              <w:spacing w:line="276" w:lineRule="auto"/>
              <w:jc w:val="both"/>
              <w:rPr>
                <w:rFonts w:ascii="Times New Roman" w:hAnsi="Times New Roman" w:cs="Times New Roman"/>
                <w:b/>
                <w:bCs/>
              </w:rPr>
            </w:pPr>
          </w:p>
        </w:tc>
        <w:tc>
          <w:tcPr>
            <w:tcW w:w="2651" w:type="dxa"/>
          </w:tcPr>
          <w:p w:rsidR="00CB3462" w:rsidRPr="006973B5" w:rsidRDefault="00CB3462" w:rsidP="00DA1A89">
            <w:pPr>
              <w:autoSpaceDE w:val="0"/>
              <w:autoSpaceDN w:val="0"/>
              <w:adjustRightInd w:val="0"/>
              <w:spacing w:line="276" w:lineRule="auto"/>
              <w:jc w:val="both"/>
              <w:rPr>
                <w:rFonts w:ascii="Times New Roman" w:hAnsi="Times New Roman" w:cs="Times New Roman"/>
                <w:sz w:val="20"/>
                <w:szCs w:val="20"/>
              </w:rPr>
            </w:pPr>
            <w:r w:rsidRPr="006973B5">
              <w:rPr>
                <w:rFonts w:ascii="Times New Roman" w:hAnsi="Times New Roman" w:cs="Times New Roman"/>
              </w:rPr>
              <w:t>Filière sésame</w:t>
            </w:r>
          </w:p>
        </w:tc>
        <w:tc>
          <w:tcPr>
            <w:tcW w:w="2210" w:type="dxa"/>
          </w:tcPr>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Les principales potentialités de la filière sont les suivantes :</w:t>
            </w:r>
          </w:p>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un potentiel de production important dans de bonnes conditions agro-écologiques ;</w:t>
            </w:r>
          </w:p>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l’existence d’acteurs confirmés de la production à l’exportation ;</w:t>
            </w:r>
          </w:p>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présence de marchés pour l’écoulement des produits aux plans national et</w:t>
            </w:r>
          </w:p>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international ;</w:t>
            </w:r>
          </w:p>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l’existence d’un encadrement technique et financier de qualité ;</w:t>
            </w:r>
          </w:p>
          <w:p w:rsidR="00CB3462"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 la présence de structures d’appui à la filière</w:t>
            </w:r>
          </w:p>
        </w:tc>
        <w:tc>
          <w:tcPr>
            <w:tcW w:w="3441" w:type="dxa"/>
          </w:tcPr>
          <w:p w:rsidR="00251EC7" w:rsidRPr="006973B5" w:rsidRDefault="00251EC7" w:rsidP="00251EC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Parmi les contraintes, il faut mentionner que le sésame ne connaît pas encore de</w:t>
            </w:r>
          </w:p>
          <w:p w:rsidR="00251EC7" w:rsidRPr="006973B5" w:rsidRDefault="00251EC7" w:rsidP="00251EC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transformation industrielle. L’huile extraite est produite à partir de presse artisanale. Les</w:t>
            </w:r>
          </w:p>
          <w:p w:rsidR="00CB3462" w:rsidRPr="006973B5" w:rsidRDefault="00251EC7" w:rsidP="00251EC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autres contraintes sont les suivantes :</w:t>
            </w:r>
          </w:p>
          <w:p w:rsidR="00251EC7" w:rsidRPr="006973B5" w:rsidRDefault="00251EC7" w:rsidP="00251EC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l’inexistence pour le moment d’une structure interprofessionnelle liée à la jeunesse de la</w:t>
            </w:r>
          </w:p>
          <w:p w:rsidR="00251EC7" w:rsidRPr="006973B5" w:rsidRDefault="00251EC7" w:rsidP="00251EC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filière qui est une culture émergente ;</w:t>
            </w:r>
          </w:p>
          <w:p w:rsidR="00251EC7" w:rsidRPr="006973B5" w:rsidRDefault="00251EC7" w:rsidP="00251EC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l’insuffisance de la recherche d’accompagnement sur les variétés de semences, les</w:t>
            </w:r>
          </w:p>
          <w:p w:rsidR="00251EC7" w:rsidRPr="006973B5" w:rsidRDefault="00251EC7" w:rsidP="00251EC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itinéraires techniques de production et de post-récolte ;</w:t>
            </w:r>
          </w:p>
          <w:p w:rsidR="00251EC7" w:rsidRPr="006973B5" w:rsidRDefault="00251EC7" w:rsidP="00251EC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 sous-équipement des producteurs ;</w:t>
            </w:r>
          </w:p>
          <w:p w:rsidR="00251EC7" w:rsidRPr="006973B5" w:rsidRDefault="00251EC7" w:rsidP="00251EC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fluctuation des prix et la mauvaise qualité marchande des produits ;</w:t>
            </w:r>
          </w:p>
          <w:p w:rsidR="00251EC7" w:rsidRPr="006973B5" w:rsidRDefault="00251EC7" w:rsidP="00251EC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les difficultés d’approvisionnement en intrants de qualité ;</w:t>
            </w:r>
          </w:p>
          <w:p w:rsidR="00251EC7" w:rsidRPr="006973B5" w:rsidRDefault="00251EC7" w:rsidP="00251EC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 l’insuffisance d’équipements de transformation et de conditionnement conformes aux</w:t>
            </w:r>
          </w:p>
          <w:p w:rsidR="00251EC7" w:rsidRPr="006973B5" w:rsidRDefault="00251EC7" w:rsidP="00251EC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normes mondiales.</w:t>
            </w:r>
          </w:p>
        </w:tc>
        <w:tc>
          <w:tcPr>
            <w:tcW w:w="4845" w:type="dxa"/>
          </w:tcPr>
          <w:p w:rsidR="00251EC7" w:rsidRPr="006973B5" w:rsidRDefault="00251EC7" w:rsidP="00251EC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Les actions d’amélioration à entreprendre sont les suivantes :</w:t>
            </w:r>
          </w:p>
          <w:p w:rsidR="00251EC7" w:rsidRPr="006973B5" w:rsidRDefault="00251EC7" w:rsidP="00251EC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w:t>
            </w:r>
            <w:r w:rsidR="00A4616C" w:rsidRPr="006973B5">
              <w:rPr>
                <w:rFonts w:ascii="Times New Roman" w:hAnsi="Times New Roman" w:cs="Times New Roman"/>
                <w:sz w:val="20"/>
                <w:szCs w:val="24"/>
              </w:rPr>
              <w:t>r</w:t>
            </w:r>
            <w:r w:rsidRPr="006973B5">
              <w:rPr>
                <w:rFonts w:ascii="Times New Roman" w:hAnsi="Times New Roman" w:cs="Times New Roman"/>
                <w:sz w:val="20"/>
                <w:szCs w:val="24"/>
              </w:rPr>
              <w:t>enforce</w:t>
            </w:r>
            <w:r w:rsidR="00A4616C" w:rsidRPr="006973B5">
              <w:rPr>
                <w:rFonts w:ascii="Times New Roman" w:hAnsi="Times New Roman" w:cs="Times New Roman"/>
                <w:sz w:val="20"/>
                <w:szCs w:val="24"/>
              </w:rPr>
              <w:t xml:space="preserve">r </w:t>
            </w:r>
            <w:r w:rsidRPr="006973B5">
              <w:rPr>
                <w:rFonts w:ascii="Times New Roman" w:hAnsi="Times New Roman" w:cs="Times New Roman"/>
                <w:sz w:val="20"/>
                <w:szCs w:val="24"/>
              </w:rPr>
              <w:t>de l’organisation des acteurs de la filière ;</w:t>
            </w:r>
          </w:p>
          <w:p w:rsidR="00251EC7" w:rsidRPr="006973B5" w:rsidRDefault="00251EC7" w:rsidP="00251EC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w:t>
            </w:r>
            <w:r w:rsidR="00A4616C" w:rsidRPr="006973B5">
              <w:rPr>
                <w:rFonts w:ascii="Times New Roman" w:hAnsi="Times New Roman" w:cs="Times New Roman"/>
                <w:sz w:val="20"/>
                <w:szCs w:val="24"/>
              </w:rPr>
              <w:t>renforcer</w:t>
            </w:r>
            <w:r w:rsidRPr="006973B5">
              <w:rPr>
                <w:rFonts w:ascii="Times New Roman" w:hAnsi="Times New Roman" w:cs="Times New Roman"/>
                <w:sz w:val="20"/>
                <w:szCs w:val="24"/>
              </w:rPr>
              <w:t xml:space="preserve"> de la recherche d’accompagnement sur les variétés de semences, les</w:t>
            </w:r>
          </w:p>
          <w:p w:rsidR="00251EC7" w:rsidRPr="006973B5" w:rsidRDefault="00251EC7" w:rsidP="00251EC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itinéraires techniques de production et de post-récolte ;</w:t>
            </w:r>
          </w:p>
          <w:p w:rsidR="00251EC7" w:rsidRPr="006973B5" w:rsidRDefault="00251EC7" w:rsidP="00251EC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amélior</w:t>
            </w:r>
            <w:r w:rsidR="00A4616C" w:rsidRPr="006973B5">
              <w:rPr>
                <w:rFonts w:ascii="Times New Roman" w:hAnsi="Times New Roman" w:cs="Times New Roman"/>
                <w:sz w:val="20"/>
                <w:szCs w:val="24"/>
              </w:rPr>
              <w:t>er</w:t>
            </w:r>
            <w:r w:rsidRPr="006973B5">
              <w:rPr>
                <w:rFonts w:ascii="Times New Roman" w:hAnsi="Times New Roman" w:cs="Times New Roman"/>
                <w:sz w:val="20"/>
                <w:szCs w:val="24"/>
              </w:rPr>
              <w:t xml:space="preserve"> de l’équipement des producteurs ;</w:t>
            </w:r>
          </w:p>
          <w:p w:rsidR="00251EC7" w:rsidRPr="006973B5" w:rsidRDefault="00251EC7" w:rsidP="00251EC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amélior</w:t>
            </w:r>
            <w:r w:rsidR="00A4616C" w:rsidRPr="006973B5">
              <w:rPr>
                <w:rFonts w:ascii="Times New Roman" w:hAnsi="Times New Roman" w:cs="Times New Roman"/>
                <w:sz w:val="20"/>
                <w:szCs w:val="24"/>
              </w:rPr>
              <w:t>er</w:t>
            </w:r>
            <w:r w:rsidRPr="006973B5">
              <w:rPr>
                <w:rFonts w:ascii="Times New Roman" w:hAnsi="Times New Roman" w:cs="Times New Roman"/>
                <w:sz w:val="20"/>
                <w:szCs w:val="24"/>
              </w:rPr>
              <w:t xml:space="preserve"> de la qualité marchande des produits ;</w:t>
            </w:r>
          </w:p>
          <w:p w:rsidR="00251EC7" w:rsidRPr="006973B5" w:rsidRDefault="00A4616C" w:rsidP="00251EC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améliorer</w:t>
            </w:r>
            <w:r w:rsidR="00251EC7" w:rsidRPr="006973B5">
              <w:rPr>
                <w:rFonts w:ascii="Times New Roman" w:hAnsi="Times New Roman" w:cs="Times New Roman"/>
                <w:sz w:val="20"/>
                <w:szCs w:val="24"/>
              </w:rPr>
              <w:t xml:space="preserve"> de l’approvisionnement des producteurs en intrants de qualité ;</w:t>
            </w:r>
          </w:p>
          <w:p w:rsidR="00CB3462" w:rsidRPr="006973B5" w:rsidRDefault="00251EC7" w:rsidP="00A4616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renforce</w:t>
            </w:r>
            <w:r w:rsidR="00A4616C" w:rsidRPr="006973B5">
              <w:rPr>
                <w:rFonts w:ascii="Times New Roman" w:hAnsi="Times New Roman" w:cs="Times New Roman"/>
                <w:sz w:val="20"/>
                <w:szCs w:val="24"/>
              </w:rPr>
              <w:t>r</w:t>
            </w:r>
            <w:r w:rsidRPr="006973B5">
              <w:rPr>
                <w:rFonts w:ascii="Times New Roman" w:hAnsi="Times New Roman" w:cs="Times New Roman"/>
                <w:sz w:val="20"/>
                <w:szCs w:val="24"/>
              </w:rPr>
              <w:t xml:space="preserve"> du parc d’équipements, de transformation et de conditionnement</w:t>
            </w:r>
            <w:r w:rsidR="00A4616C" w:rsidRPr="006973B5">
              <w:rPr>
                <w:rFonts w:ascii="Times New Roman" w:hAnsi="Times New Roman" w:cs="Times New Roman"/>
                <w:sz w:val="20"/>
                <w:szCs w:val="24"/>
              </w:rPr>
              <w:t xml:space="preserve"> </w:t>
            </w:r>
            <w:r w:rsidRPr="006973B5">
              <w:rPr>
                <w:rFonts w:ascii="Times New Roman" w:hAnsi="Times New Roman" w:cs="Times New Roman"/>
                <w:sz w:val="20"/>
                <w:szCs w:val="24"/>
              </w:rPr>
              <w:t>conformes aux normes mondiales</w:t>
            </w:r>
          </w:p>
        </w:tc>
      </w:tr>
      <w:tr w:rsidR="00321C68" w:rsidRPr="006973B5" w:rsidTr="00AD4D0A">
        <w:trPr>
          <w:trHeight w:val="176"/>
        </w:trPr>
        <w:tc>
          <w:tcPr>
            <w:tcW w:w="1655" w:type="dxa"/>
          </w:tcPr>
          <w:p w:rsidR="00321C68" w:rsidRPr="006973B5" w:rsidRDefault="00321C68" w:rsidP="00DA1A89">
            <w:pPr>
              <w:autoSpaceDE w:val="0"/>
              <w:autoSpaceDN w:val="0"/>
              <w:adjustRightInd w:val="0"/>
              <w:spacing w:line="276" w:lineRule="auto"/>
              <w:jc w:val="both"/>
              <w:rPr>
                <w:rFonts w:ascii="Times New Roman" w:hAnsi="Times New Roman" w:cs="Times New Roman"/>
                <w:b/>
                <w:bCs/>
              </w:rPr>
            </w:pPr>
            <w:r w:rsidRPr="006973B5">
              <w:rPr>
                <w:rFonts w:ascii="Times New Roman" w:hAnsi="Times New Roman" w:cs="Times New Roman"/>
                <w:b/>
                <w:bCs/>
              </w:rPr>
              <w:lastRenderedPageBreak/>
              <w:t>Maraîchage</w:t>
            </w:r>
          </w:p>
        </w:tc>
        <w:tc>
          <w:tcPr>
            <w:tcW w:w="2651" w:type="dxa"/>
          </w:tcPr>
          <w:p w:rsidR="00321C68" w:rsidRPr="006973B5" w:rsidRDefault="00321C68" w:rsidP="00316AFF">
            <w:pPr>
              <w:autoSpaceDE w:val="0"/>
              <w:autoSpaceDN w:val="0"/>
              <w:adjustRightInd w:val="0"/>
              <w:spacing w:line="276" w:lineRule="auto"/>
              <w:jc w:val="both"/>
              <w:rPr>
                <w:rFonts w:ascii="Times New Roman" w:hAnsi="Times New Roman" w:cs="Times New Roman"/>
                <w:sz w:val="20"/>
                <w:szCs w:val="20"/>
              </w:rPr>
            </w:pPr>
            <w:r w:rsidRPr="006973B5">
              <w:rPr>
                <w:rFonts w:ascii="Times New Roman" w:hAnsi="Times New Roman" w:cs="Times New Roman"/>
              </w:rPr>
              <w:t>Filière</w:t>
            </w:r>
            <w:r w:rsidR="00316AFF" w:rsidRPr="006973B5">
              <w:rPr>
                <w:rFonts w:ascii="Times New Roman" w:hAnsi="Times New Roman" w:cs="Times New Roman"/>
              </w:rPr>
              <w:t>/</w:t>
            </w:r>
            <w:r w:rsidRPr="006973B5">
              <w:rPr>
                <w:rFonts w:ascii="Times New Roman" w:hAnsi="Times New Roman" w:cs="Times New Roman"/>
              </w:rPr>
              <w:t>oignon/échalote</w:t>
            </w:r>
          </w:p>
        </w:tc>
        <w:tc>
          <w:tcPr>
            <w:tcW w:w="2210" w:type="dxa"/>
          </w:tcPr>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Les principales potentialités de la filière oignon/échalote sont les suivantes :</w:t>
            </w:r>
          </w:p>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un produit compétitif grâce à son coût de production inférieur de 25% par rapport aux pays voisins ;</w:t>
            </w:r>
          </w:p>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l’existence d’un potentiel d’exportation dans la sous-région ;</w:t>
            </w:r>
          </w:p>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présence de projets et programmes pour la promotion des filières agricoles.</w:t>
            </w:r>
          </w:p>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L’oignon/échalote bénéficie donc d’importants marchés pour sa commercialisation au niveau</w:t>
            </w:r>
          </w:p>
          <w:p w:rsidR="00321C68"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intérieur et dans la sous-région (Guinée, Sénégal, Mauritanie, Côte d’Ivoire et Burkina Faso).</w:t>
            </w:r>
          </w:p>
        </w:tc>
        <w:tc>
          <w:tcPr>
            <w:tcW w:w="3441" w:type="dxa"/>
          </w:tcPr>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l’enclavement et l’éloignement des sites de production par rapport aux marchés</w:t>
            </w:r>
          </w:p>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d’écoulement ;</w:t>
            </w:r>
          </w:p>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l’envasement des petits barrages pour le pays Dogon ;</w:t>
            </w:r>
          </w:p>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les difficultés d’accès au financement pour les producteurs;</w:t>
            </w:r>
          </w:p>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 faible développement du stockage et de la transformation en raison du problème</w:t>
            </w:r>
          </w:p>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technique des pertes encourues ;</w:t>
            </w:r>
          </w:p>
          <w:p w:rsidR="00321C68"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l’insuffisante organisation des acteurs de la filière</w:t>
            </w:r>
          </w:p>
        </w:tc>
        <w:tc>
          <w:tcPr>
            <w:tcW w:w="4845" w:type="dxa"/>
          </w:tcPr>
          <w:p w:rsidR="00ED7153" w:rsidRPr="006973B5" w:rsidRDefault="00A4616C"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w:t>
            </w:r>
            <w:r w:rsidR="00ED7153" w:rsidRPr="006973B5">
              <w:rPr>
                <w:rFonts w:ascii="Times New Roman" w:hAnsi="Times New Roman" w:cs="Times New Roman"/>
                <w:sz w:val="20"/>
                <w:szCs w:val="24"/>
              </w:rPr>
              <w:t>désenclave</w:t>
            </w:r>
            <w:r w:rsidRPr="006973B5">
              <w:rPr>
                <w:rFonts w:ascii="Times New Roman" w:hAnsi="Times New Roman" w:cs="Times New Roman"/>
                <w:sz w:val="20"/>
                <w:szCs w:val="24"/>
              </w:rPr>
              <w:t>r</w:t>
            </w:r>
            <w:r w:rsidR="00ED7153" w:rsidRPr="006973B5">
              <w:rPr>
                <w:rFonts w:ascii="Times New Roman" w:hAnsi="Times New Roman" w:cs="Times New Roman"/>
                <w:sz w:val="20"/>
                <w:szCs w:val="24"/>
              </w:rPr>
              <w:t xml:space="preserve"> des sites de production ;</w:t>
            </w:r>
          </w:p>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w:t>
            </w:r>
            <w:r w:rsidR="00A4616C" w:rsidRPr="006973B5">
              <w:rPr>
                <w:rFonts w:ascii="Times New Roman" w:hAnsi="Times New Roman" w:cs="Times New Roman"/>
                <w:sz w:val="20"/>
                <w:szCs w:val="24"/>
              </w:rPr>
              <w:t>a</w:t>
            </w:r>
            <w:r w:rsidRPr="006973B5">
              <w:rPr>
                <w:rFonts w:ascii="Times New Roman" w:hAnsi="Times New Roman" w:cs="Times New Roman"/>
                <w:sz w:val="20"/>
                <w:szCs w:val="24"/>
              </w:rPr>
              <w:t>ccroi</w:t>
            </w:r>
            <w:r w:rsidR="00A4616C" w:rsidRPr="006973B5">
              <w:rPr>
                <w:rFonts w:ascii="Times New Roman" w:hAnsi="Times New Roman" w:cs="Times New Roman"/>
                <w:sz w:val="20"/>
                <w:szCs w:val="24"/>
              </w:rPr>
              <w:t>tre</w:t>
            </w:r>
            <w:r w:rsidRPr="006973B5">
              <w:rPr>
                <w:rFonts w:ascii="Times New Roman" w:hAnsi="Times New Roman" w:cs="Times New Roman"/>
                <w:sz w:val="20"/>
                <w:szCs w:val="24"/>
              </w:rPr>
              <w:t xml:space="preserve"> la taille des superficies cultivées ;</w:t>
            </w:r>
          </w:p>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facilit</w:t>
            </w:r>
            <w:r w:rsidR="00A4616C" w:rsidRPr="006973B5">
              <w:rPr>
                <w:rFonts w:ascii="Times New Roman" w:hAnsi="Times New Roman" w:cs="Times New Roman"/>
                <w:sz w:val="20"/>
                <w:szCs w:val="24"/>
              </w:rPr>
              <w:t>er</w:t>
            </w:r>
            <w:r w:rsidRPr="006973B5">
              <w:rPr>
                <w:rFonts w:ascii="Times New Roman" w:hAnsi="Times New Roman" w:cs="Times New Roman"/>
                <w:sz w:val="20"/>
                <w:szCs w:val="24"/>
              </w:rPr>
              <w:t xml:space="preserve"> de l’accès des producteurs au financement ;</w:t>
            </w:r>
          </w:p>
          <w:p w:rsidR="00ED7153" w:rsidRPr="006973B5" w:rsidRDefault="00ED7153" w:rsidP="00ED7153">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développe</w:t>
            </w:r>
            <w:r w:rsidR="00A4616C" w:rsidRPr="006973B5">
              <w:rPr>
                <w:rFonts w:ascii="Times New Roman" w:hAnsi="Times New Roman" w:cs="Times New Roman"/>
                <w:sz w:val="20"/>
                <w:szCs w:val="24"/>
              </w:rPr>
              <w:t>r</w:t>
            </w:r>
            <w:r w:rsidRPr="006973B5">
              <w:rPr>
                <w:rFonts w:ascii="Times New Roman" w:hAnsi="Times New Roman" w:cs="Times New Roman"/>
                <w:sz w:val="20"/>
                <w:szCs w:val="24"/>
              </w:rPr>
              <w:t xml:space="preserve"> du stockage et de la transformation ;</w:t>
            </w:r>
          </w:p>
          <w:p w:rsidR="00321C68" w:rsidRPr="006973B5" w:rsidRDefault="00ED7153" w:rsidP="00A4616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amélior</w:t>
            </w:r>
            <w:r w:rsidR="00A4616C" w:rsidRPr="006973B5">
              <w:rPr>
                <w:rFonts w:ascii="Times New Roman" w:hAnsi="Times New Roman" w:cs="Times New Roman"/>
                <w:sz w:val="20"/>
                <w:szCs w:val="24"/>
              </w:rPr>
              <w:t>er</w:t>
            </w:r>
            <w:r w:rsidRPr="006973B5">
              <w:rPr>
                <w:rFonts w:ascii="Times New Roman" w:hAnsi="Times New Roman" w:cs="Times New Roman"/>
                <w:sz w:val="20"/>
                <w:szCs w:val="24"/>
              </w:rPr>
              <w:t xml:space="preserve"> de l’organisation des acteurs de la filière.</w:t>
            </w:r>
          </w:p>
        </w:tc>
      </w:tr>
      <w:tr w:rsidR="00DA1A89" w:rsidRPr="006973B5" w:rsidTr="00AD4D0A">
        <w:trPr>
          <w:trHeight w:val="176"/>
        </w:trPr>
        <w:tc>
          <w:tcPr>
            <w:tcW w:w="1655" w:type="dxa"/>
          </w:tcPr>
          <w:p w:rsidR="00DA1A89" w:rsidRPr="006973B5" w:rsidRDefault="00DA1A89" w:rsidP="00DA1A89">
            <w:pPr>
              <w:autoSpaceDE w:val="0"/>
              <w:autoSpaceDN w:val="0"/>
              <w:adjustRightInd w:val="0"/>
              <w:spacing w:line="276" w:lineRule="auto"/>
              <w:jc w:val="both"/>
              <w:rPr>
                <w:rFonts w:ascii="Times New Roman" w:hAnsi="Times New Roman" w:cs="Times New Roman"/>
                <w:b/>
                <w:sz w:val="28"/>
                <w:szCs w:val="28"/>
              </w:rPr>
            </w:pPr>
            <w:r w:rsidRPr="006973B5">
              <w:rPr>
                <w:rFonts w:ascii="Times New Roman" w:hAnsi="Times New Roman" w:cs="Times New Roman"/>
                <w:b/>
                <w:bCs/>
              </w:rPr>
              <w:t>Pêche</w:t>
            </w:r>
          </w:p>
        </w:tc>
        <w:tc>
          <w:tcPr>
            <w:tcW w:w="2651" w:type="dxa"/>
          </w:tcPr>
          <w:p w:rsidR="00DA1A89" w:rsidRPr="006973B5" w:rsidRDefault="00321C68" w:rsidP="00DA1A89">
            <w:pPr>
              <w:autoSpaceDE w:val="0"/>
              <w:autoSpaceDN w:val="0"/>
              <w:adjustRightInd w:val="0"/>
              <w:spacing w:line="276" w:lineRule="auto"/>
              <w:jc w:val="both"/>
              <w:rPr>
                <w:rFonts w:ascii="Times New Roman" w:hAnsi="Times New Roman" w:cs="Times New Roman"/>
                <w:b/>
                <w:bCs/>
                <w:sz w:val="28"/>
                <w:szCs w:val="28"/>
              </w:rPr>
            </w:pPr>
            <w:r w:rsidRPr="006973B5">
              <w:rPr>
                <w:rFonts w:ascii="Times New Roman" w:hAnsi="Times New Roman" w:cs="Times New Roman"/>
              </w:rPr>
              <w:t>Filière poissons</w:t>
            </w:r>
          </w:p>
        </w:tc>
        <w:tc>
          <w:tcPr>
            <w:tcW w:w="2210" w:type="dxa"/>
          </w:tcPr>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L’inventaire du Delta intérieur du Niger a dénombré 26 familles et 137 espèces de poissons</w:t>
            </w:r>
            <w:r w:rsidR="008175A7" w:rsidRPr="006973B5">
              <w:rPr>
                <w:rFonts w:ascii="Times New Roman" w:hAnsi="Times New Roman" w:cs="Times New Roman"/>
                <w:sz w:val="20"/>
                <w:szCs w:val="24"/>
              </w:rPr>
              <w:t xml:space="preserve"> </w:t>
            </w:r>
            <w:r w:rsidRPr="006973B5">
              <w:rPr>
                <w:rFonts w:ascii="Times New Roman" w:hAnsi="Times New Roman" w:cs="Times New Roman"/>
                <w:sz w:val="20"/>
                <w:szCs w:val="24"/>
              </w:rPr>
              <w:t xml:space="preserve">dans les années </w:t>
            </w:r>
            <w:r w:rsidRPr="006973B5">
              <w:rPr>
                <w:rFonts w:ascii="Times New Roman" w:hAnsi="Times New Roman" w:cs="Times New Roman"/>
                <w:sz w:val="20"/>
                <w:szCs w:val="24"/>
              </w:rPr>
              <w:lastRenderedPageBreak/>
              <w:t>cinquante (Daget, 1954). Aujourd’hui les observations des captures dans</w:t>
            </w:r>
            <w:r w:rsidR="008175A7" w:rsidRPr="006973B5">
              <w:rPr>
                <w:rFonts w:ascii="Times New Roman" w:hAnsi="Times New Roman" w:cs="Times New Roman"/>
                <w:sz w:val="20"/>
                <w:szCs w:val="24"/>
              </w:rPr>
              <w:t xml:space="preserve"> </w:t>
            </w:r>
            <w:r w:rsidRPr="006973B5">
              <w:rPr>
                <w:rFonts w:ascii="Times New Roman" w:hAnsi="Times New Roman" w:cs="Times New Roman"/>
                <w:sz w:val="20"/>
                <w:szCs w:val="24"/>
              </w:rPr>
              <w:t>les différentes zones dénotent l’existence de 98 espèces. Toutefois, la DRP de Mopti a</w:t>
            </w:r>
            <w:r w:rsidR="008175A7" w:rsidRPr="006973B5">
              <w:rPr>
                <w:rFonts w:ascii="Times New Roman" w:hAnsi="Times New Roman" w:cs="Times New Roman"/>
                <w:sz w:val="20"/>
                <w:szCs w:val="24"/>
              </w:rPr>
              <w:t xml:space="preserve"> </w:t>
            </w:r>
            <w:r w:rsidRPr="006973B5">
              <w:rPr>
                <w:rFonts w:ascii="Times New Roman" w:hAnsi="Times New Roman" w:cs="Times New Roman"/>
                <w:sz w:val="20"/>
                <w:szCs w:val="24"/>
              </w:rPr>
              <w:t>signalé la rareté de 17 espèces, notamment les tétredous, les latès, les allertes, les</w:t>
            </w:r>
          </w:p>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synchontis, mais également la disparition de  espèces de poisson (essentiellement les</w:t>
            </w:r>
          </w:p>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gymnarcys, cytarinus, schylbé, heterotis et tilapias). Les cercles de Mopti, Djenné,</w:t>
            </w:r>
          </w:p>
          <w:p w:rsidR="00DA1A89" w:rsidRPr="006973B5" w:rsidRDefault="00BF00CD" w:rsidP="00BF00CD">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Tenenkou, Youwarou ont été identifiés comme étant les principales zones de pêche.</w:t>
            </w:r>
          </w:p>
        </w:tc>
        <w:tc>
          <w:tcPr>
            <w:tcW w:w="3441" w:type="dxa"/>
          </w:tcPr>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Cependant, la filière poissons fait face à un certain nombre de contraintes notamment :</w:t>
            </w:r>
          </w:p>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l’ensablement des plans d’eau ;</w:t>
            </w:r>
          </w:p>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 l’usage d’engins de pêche dévastateurs, prohibés et inadaptés ;</w:t>
            </w:r>
          </w:p>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l’arrêt de la migration latérale des poissons du fait de l’implantation des barrages ;</w:t>
            </w:r>
          </w:p>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l’insuffisante application des textes réglementant la pêche ;</w:t>
            </w:r>
          </w:p>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les problèmes de production et de commercialisation des produits de la pêche ;</w:t>
            </w:r>
          </w:p>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dégradation du biotope ;</w:t>
            </w:r>
          </w:p>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 faible niveau d’organisation des acteurs du secteur ;</w:t>
            </w:r>
          </w:p>
          <w:p w:rsidR="00DA1A89" w:rsidRPr="006973B5" w:rsidRDefault="00BF00CD" w:rsidP="00BF00CD">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 l’insuffisant développement de la pisciculture.</w:t>
            </w:r>
          </w:p>
        </w:tc>
        <w:tc>
          <w:tcPr>
            <w:tcW w:w="4845" w:type="dxa"/>
          </w:tcPr>
          <w:p w:rsidR="00BF00CD" w:rsidRPr="006973B5" w:rsidRDefault="00A4616C"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 xml:space="preserve">-protéger </w:t>
            </w:r>
            <w:r w:rsidR="00BF00CD" w:rsidRPr="006973B5">
              <w:rPr>
                <w:rFonts w:ascii="Times New Roman" w:hAnsi="Times New Roman" w:cs="Times New Roman"/>
                <w:sz w:val="20"/>
                <w:szCs w:val="24"/>
              </w:rPr>
              <w:t xml:space="preserve"> </w:t>
            </w:r>
            <w:r w:rsidRPr="006973B5">
              <w:rPr>
                <w:rFonts w:ascii="Times New Roman" w:hAnsi="Times New Roman" w:cs="Times New Roman"/>
                <w:sz w:val="20"/>
                <w:szCs w:val="24"/>
              </w:rPr>
              <w:t>les</w:t>
            </w:r>
            <w:r w:rsidR="00BF00CD" w:rsidRPr="006973B5">
              <w:rPr>
                <w:rFonts w:ascii="Times New Roman" w:hAnsi="Times New Roman" w:cs="Times New Roman"/>
                <w:sz w:val="20"/>
                <w:szCs w:val="24"/>
              </w:rPr>
              <w:t xml:space="preserve"> plans d’eau co</w:t>
            </w:r>
            <w:r w:rsidRPr="006973B5">
              <w:rPr>
                <w:rFonts w:ascii="Times New Roman" w:hAnsi="Times New Roman" w:cs="Times New Roman"/>
                <w:sz w:val="20"/>
                <w:szCs w:val="24"/>
              </w:rPr>
              <w:t xml:space="preserve">ntre les risques d’ensablement </w:t>
            </w:r>
          </w:p>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lutte</w:t>
            </w:r>
            <w:r w:rsidR="00A4616C" w:rsidRPr="006973B5">
              <w:rPr>
                <w:rFonts w:ascii="Times New Roman" w:hAnsi="Times New Roman" w:cs="Times New Roman"/>
                <w:sz w:val="20"/>
                <w:szCs w:val="24"/>
              </w:rPr>
              <w:t>r</w:t>
            </w:r>
            <w:r w:rsidRPr="006973B5">
              <w:rPr>
                <w:rFonts w:ascii="Times New Roman" w:hAnsi="Times New Roman" w:cs="Times New Roman"/>
                <w:sz w:val="20"/>
                <w:szCs w:val="24"/>
              </w:rPr>
              <w:t xml:space="preserve"> contre les techniques prohibées de pêche en vue de la préservation des espèces de poissons menacés de disparition ;</w:t>
            </w:r>
          </w:p>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 xml:space="preserve">- </w:t>
            </w:r>
            <w:r w:rsidR="00A4616C" w:rsidRPr="006973B5">
              <w:rPr>
                <w:rFonts w:ascii="Times New Roman" w:hAnsi="Times New Roman" w:cs="Times New Roman"/>
                <w:sz w:val="20"/>
                <w:szCs w:val="24"/>
              </w:rPr>
              <w:t>mettre en place</w:t>
            </w:r>
            <w:r w:rsidRPr="006973B5">
              <w:rPr>
                <w:rFonts w:ascii="Times New Roman" w:hAnsi="Times New Roman" w:cs="Times New Roman"/>
                <w:sz w:val="20"/>
                <w:szCs w:val="24"/>
              </w:rPr>
              <w:t xml:space="preserve"> d’un dispositif de suivi de la prise de poisson afin d’éviter la capture de petits poissons ;</w:t>
            </w:r>
          </w:p>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sensibilis</w:t>
            </w:r>
            <w:r w:rsidR="00A4616C" w:rsidRPr="006973B5">
              <w:rPr>
                <w:rFonts w:ascii="Times New Roman" w:hAnsi="Times New Roman" w:cs="Times New Roman"/>
                <w:sz w:val="20"/>
                <w:szCs w:val="24"/>
              </w:rPr>
              <w:t>er</w:t>
            </w:r>
            <w:r w:rsidRPr="006973B5">
              <w:rPr>
                <w:rFonts w:ascii="Times New Roman" w:hAnsi="Times New Roman" w:cs="Times New Roman"/>
                <w:sz w:val="20"/>
                <w:szCs w:val="24"/>
              </w:rPr>
              <w:t xml:space="preserve"> des acteurs sur les bonnes pratiques piscicoles ;</w:t>
            </w:r>
          </w:p>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w:t>
            </w:r>
            <w:r w:rsidR="00A4616C" w:rsidRPr="006973B5">
              <w:rPr>
                <w:rFonts w:ascii="Times New Roman" w:hAnsi="Times New Roman" w:cs="Times New Roman"/>
                <w:sz w:val="20"/>
                <w:szCs w:val="24"/>
              </w:rPr>
              <w:t>soutenir</w:t>
            </w:r>
            <w:r w:rsidRPr="006973B5">
              <w:rPr>
                <w:rFonts w:ascii="Times New Roman" w:hAnsi="Times New Roman" w:cs="Times New Roman"/>
                <w:sz w:val="20"/>
                <w:szCs w:val="24"/>
              </w:rPr>
              <w:t xml:space="preserve"> la valorisation, à la commercialisation et à la transformation des produits de la pêche ;</w:t>
            </w:r>
          </w:p>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développe</w:t>
            </w:r>
            <w:r w:rsidR="00A4616C" w:rsidRPr="006973B5">
              <w:rPr>
                <w:rFonts w:ascii="Times New Roman" w:hAnsi="Times New Roman" w:cs="Times New Roman"/>
                <w:sz w:val="20"/>
                <w:szCs w:val="24"/>
              </w:rPr>
              <w:t>r</w:t>
            </w:r>
            <w:r w:rsidRPr="006973B5">
              <w:rPr>
                <w:rFonts w:ascii="Times New Roman" w:hAnsi="Times New Roman" w:cs="Times New Roman"/>
                <w:sz w:val="20"/>
                <w:szCs w:val="24"/>
              </w:rPr>
              <w:t xml:space="preserve"> de la pisciculture ;</w:t>
            </w:r>
          </w:p>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w:t>
            </w:r>
            <w:r w:rsidR="00A4616C" w:rsidRPr="006973B5">
              <w:rPr>
                <w:rFonts w:ascii="Times New Roman" w:hAnsi="Times New Roman" w:cs="Times New Roman"/>
                <w:sz w:val="20"/>
                <w:szCs w:val="24"/>
              </w:rPr>
              <w:t>sur creuser</w:t>
            </w:r>
            <w:r w:rsidRPr="006973B5">
              <w:rPr>
                <w:rFonts w:ascii="Times New Roman" w:hAnsi="Times New Roman" w:cs="Times New Roman"/>
                <w:sz w:val="20"/>
                <w:szCs w:val="24"/>
              </w:rPr>
              <w:t xml:space="preserve"> certaines mares, de lacs, retenues, ‘’bancotières’’ et emprunts dégradés ;</w:t>
            </w:r>
          </w:p>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ménage</w:t>
            </w:r>
            <w:r w:rsidR="00A4616C" w:rsidRPr="006973B5">
              <w:rPr>
                <w:rFonts w:ascii="Times New Roman" w:hAnsi="Times New Roman" w:cs="Times New Roman"/>
                <w:sz w:val="20"/>
                <w:szCs w:val="24"/>
              </w:rPr>
              <w:t xml:space="preserve">r </w:t>
            </w:r>
            <w:r w:rsidR="00AD4D0A">
              <w:rPr>
                <w:rFonts w:ascii="Times New Roman" w:hAnsi="Times New Roman" w:cs="Times New Roman"/>
                <w:sz w:val="20"/>
                <w:szCs w:val="24"/>
              </w:rPr>
              <w:t xml:space="preserve">les </w:t>
            </w:r>
            <w:r w:rsidR="00AD4D0A" w:rsidRPr="006973B5">
              <w:rPr>
                <w:rFonts w:ascii="Times New Roman" w:hAnsi="Times New Roman" w:cs="Times New Roman"/>
                <w:sz w:val="20"/>
                <w:szCs w:val="24"/>
              </w:rPr>
              <w:t>étang</w:t>
            </w:r>
            <w:r w:rsidR="00AD4D0A">
              <w:rPr>
                <w:rFonts w:ascii="Times New Roman" w:hAnsi="Times New Roman" w:cs="Times New Roman"/>
                <w:sz w:val="20"/>
                <w:szCs w:val="24"/>
              </w:rPr>
              <w:t>s</w:t>
            </w:r>
            <w:r w:rsidRPr="006973B5">
              <w:rPr>
                <w:rFonts w:ascii="Times New Roman" w:hAnsi="Times New Roman" w:cs="Times New Roman"/>
                <w:sz w:val="20"/>
                <w:szCs w:val="24"/>
              </w:rPr>
              <w:t xml:space="preserve"> piscicole</w:t>
            </w:r>
            <w:r w:rsidR="00AD4D0A">
              <w:rPr>
                <w:rFonts w:ascii="Times New Roman" w:hAnsi="Times New Roman" w:cs="Times New Roman"/>
                <w:sz w:val="20"/>
                <w:szCs w:val="24"/>
              </w:rPr>
              <w:t>s</w:t>
            </w:r>
            <w:r w:rsidRPr="006973B5">
              <w:rPr>
                <w:rFonts w:ascii="Times New Roman" w:hAnsi="Times New Roman" w:cs="Times New Roman"/>
                <w:sz w:val="20"/>
                <w:szCs w:val="24"/>
              </w:rPr>
              <w:t xml:space="preserve"> ;</w:t>
            </w:r>
          </w:p>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w:t>
            </w:r>
            <w:r w:rsidR="00A4616C" w:rsidRPr="006973B5">
              <w:rPr>
                <w:rFonts w:ascii="Times New Roman" w:hAnsi="Times New Roman" w:cs="Times New Roman"/>
                <w:sz w:val="20"/>
                <w:szCs w:val="24"/>
              </w:rPr>
              <w:t>mettre en place des</w:t>
            </w:r>
            <w:r w:rsidRPr="006973B5">
              <w:rPr>
                <w:rFonts w:ascii="Times New Roman" w:hAnsi="Times New Roman" w:cs="Times New Roman"/>
                <w:sz w:val="20"/>
                <w:szCs w:val="24"/>
              </w:rPr>
              <w:t xml:space="preserve"> zones de mise en défens pour l’épanouissement et la reproduction des poissons ;</w:t>
            </w:r>
          </w:p>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 </w:t>
            </w:r>
            <w:r w:rsidR="00A4616C" w:rsidRPr="006973B5">
              <w:rPr>
                <w:rFonts w:ascii="Times New Roman" w:hAnsi="Times New Roman" w:cs="Times New Roman"/>
                <w:sz w:val="20"/>
                <w:szCs w:val="24"/>
              </w:rPr>
              <w:t>a</w:t>
            </w:r>
            <w:r w:rsidRPr="006973B5">
              <w:rPr>
                <w:rFonts w:ascii="Times New Roman" w:hAnsi="Times New Roman" w:cs="Times New Roman"/>
                <w:sz w:val="20"/>
                <w:szCs w:val="24"/>
              </w:rPr>
              <w:t>mélior</w:t>
            </w:r>
            <w:r w:rsidR="00A4616C" w:rsidRPr="006973B5">
              <w:rPr>
                <w:rFonts w:ascii="Times New Roman" w:hAnsi="Times New Roman" w:cs="Times New Roman"/>
                <w:sz w:val="20"/>
                <w:szCs w:val="24"/>
              </w:rPr>
              <w:t>er</w:t>
            </w:r>
            <w:r w:rsidRPr="006973B5">
              <w:rPr>
                <w:rFonts w:ascii="Times New Roman" w:hAnsi="Times New Roman" w:cs="Times New Roman"/>
                <w:sz w:val="20"/>
                <w:szCs w:val="24"/>
              </w:rPr>
              <w:t xml:space="preserve"> de l’organisation des acteurs de la filière ;</w:t>
            </w:r>
          </w:p>
          <w:p w:rsidR="00BF00CD" w:rsidRPr="006973B5" w:rsidRDefault="00BF00CD" w:rsidP="00BF00CD">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w:t>
            </w:r>
            <w:r w:rsidR="00A4616C" w:rsidRPr="006973B5">
              <w:rPr>
                <w:rFonts w:ascii="Times New Roman" w:hAnsi="Times New Roman" w:cs="Times New Roman"/>
                <w:sz w:val="20"/>
                <w:szCs w:val="24"/>
              </w:rPr>
              <w:t>ren</w:t>
            </w:r>
            <w:r w:rsidRPr="006973B5">
              <w:rPr>
                <w:rFonts w:ascii="Times New Roman" w:hAnsi="Times New Roman" w:cs="Times New Roman"/>
                <w:sz w:val="20"/>
                <w:szCs w:val="24"/>
              </w:rPr>
              <w:t>force</w:t>
            </w:r>
            <w:r w:rsidR="00A4616C" w:rsidRPr="006973B5">
              <w:rPr>
                <w:rFonts w:ascii="Times New Roman" w:hAnsi="Times New Roman" w:cs="Times New Roman"/>
                <w:sz w:val="20"/>
                <w:szCs w:val="24"/>
              </w:rPr>
              <w:t>r</w:t>
            </w:r>
            <w:r w:rsidRPr="006973B5">
              <w:rPr>
                <w:rFonts w:ascii="Times New Roman" w:hAnsi="Times New Roman" w:cs="Times New Roman"/>
                <w:sz w:val="20"/>
                <w:szCs w:val="24"/>
              </w:rPr>
              <w:t xml:space="preserve"> des capacités techniques des acteurs de la filière ;</w:t>
            </w:r>
          </w:p>
          <w:p w:rsidR="00DA1A89" w:rsidRPr="006973B5" w:rsidRDefault="00BF00CD" w:rsidP="00A4616C">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 appli</w:t>
            </w:r>
            <w:r w:rsidR="00A4616C" w:rsidRPr="006973B5">
              <w:rPr>
                <w:rFonts w:ascii="Times New Roman" w:hAnsi="Times New Roman" w:cs="Times New Roman"/>
                <w:sz w:val="20"/>
                <w:szCs w:val="24"/>
              </w:rPr>
              <w:t>quer l</w:t>
            </w:r>
            <w:r w:rsidRPr="006973B5">
              <w:rPr>
                <w:rFonts w:ascii="Times New Roman" w:hAnsi="Times New Roman" w:cs="Times New Roman"/>
                <w:sz w:val="20"/>
                <w:szCs w:val="24"/>
              </w:rPr>
              <w:t>es textes réglementant la pêche.</w:t>
            </w:r>
          </w:p>
        </w:tc>
      </w:tr>
      <w:tr w:rsidR="00DA1A89" w:rsidRPr="006973B5" w:rsidTr="00AD4D0A">
        <w:trPr>
          <w:trHeight w:val="176"/>
        </w:trPr>
        <w:tc>
          <w:tcPr>
            <w:tcW w:w="1655" w:type="dxa"/>
          </w:tcPr>
          <w:p w:rsidR="00DA1A89" w:rsidRPr="006973B5" w:rsidRDefault="00DA1A89" w:rsidP="00DA1A89">
            <w:pPr>
              <w:autoSpaceDE w:val="0"/>
              <w:autoSpaceDN w:val="0"/>
              <w:adjustRightInd w:val="0"/>
              <w:spacing w:line="276" w:lineRule="auto"/>
              <w:jc w:val="both"/>
              <w:rPr>
                <w:rFonts w:ascii="Times New Roman" w:hAnsi="Times New Roman" w:cs="Times New Roman"/>
                <w:b/>
                <w:bCs/>
              </w:rPr>
            </w:pPr>
            <w:r w:rsidRPr="006973B5">
              <w:rPr>
                <w:rFonts w:ascii="Times New Roman" w:hAnsi="Times New Roman" w:cs="Times New Roman"/>
                <w:b/>
                <w:bCs/>
                <w:szCs w:val="20"/>
              </w:rPr>
              <w:lastRenderedPageBreak/>
              <w:t>Tourisme</w:t>
            </w:r>
          </w:p>
        </w:tc>
        <w:tc>
          <w:tcPr>
            <w:tcW w:w="2651" w:type="dxa"/>
          </w:tcPr>
          <w:p w:rsidR="00DA1A89" w:rsidRPr="006973B5" w:rsidRDefault="00321C68" w:rsidP="00316AFF">
            <w:pPr>
              <w:autoSpaceDE w:val="0"/>
              <w:autoSpaceDN w:val="0"/>
              <w:adjustRightInd w:val="0"/>
              <w:spacing w:line="276" w:lineRule="auto"/>
              <w:jc w:val="both"/>
              <w:rPr>
                <w:rFonts w:ascii="Times New Roman" w:hAnsi="Times New Roman" w:cs="Times New Roman"/>
                <w:b/>
                <w:bCs/>
                <w:sz w:val="28"/>
                <w:szCs w:val="28"/>
              </w:rPr>
            </w:pPr>
            <w:r w:rsidRPr="006973B5">
              <w:rPr>
                <w:rFonts w:ascii="Times New Roman" w:hAnsi="Times New Roman" w:cs="Times New Roman"/>
              </w:rPr>
              <w:t>Filière</w:t>
            </w:r>
            <w:r w:rsidR="00316AFF" w:rsidRPr="006973B5">
              <w:rPr>
                <w:rFonts w:ascii="Times New Roman" w:hAnsi="Times New Roman" w:cs="Times New Roman"/>
              </w:rPr>
              <w:t>/</w:t>
            </w:r>
            <w:r w:rsidRPr="006973B5">
              <w:rPr>
                <w:rFonts w:ascii="Times New Roman" w:hAnsi="Times New Roman" w:cs="Times New Roman"/>
              </w:rPr>
              <w:t>tourisme</w:t>
            </w:r>
            <w:r w:rsidR="00316AFF" w:rsidRPr="006973B5">
              <w:rPr>
                <w:rFonts w:ascii="Times New Roman" w:hAnsi="Times New Roman" w:cs="Times New Roman"/>
              </w:rPr>
              <w:t xml:space="preserve"> </w:t>
            </w:r>
            <w:r w:rsidRPr="006973B5">
              <w:rPr>
                <w:rFonts w:ascii="Times New Roman" w:hAnsi="Times New Roman" w:cs="Times New Roman"/>
              </w:rPr>
              <w:t>et artisanat</w:t>
            </w:r>
          </w:p>
        </w:tc>
        <w:tc>
          <w:tcPr>
            <w:tcW w:w="2210" w:type="dxa"/>
          </w:tcPr>
          <w:p w:rsidR="008175A7" w:rsidRPr="006973B5" w:rsidRDefault="008175A7" w:rsidP="008175A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La filière tourisme/artisanat est un secteur porteur et générateur d’emplois, d’autant plus</w:t>
            </w:r>
          </w:p>
          <w:p w:rsidR="008175A7" w:rsidRPr="006973B5" w:rsidRDefault="008175A7" w:rsidP="008175A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que la région de Mopti est la première destination touristique du Mali. Outre les sites </w:t>
            </w:r>
          </w:p>
          <w:p w:rsidR="008175A7" w:rsidRPr="006973B5" w:rsidRDefault="008175A7" w:rsidP="008175A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xml:space="preserve">touristiques dont deux sont classés patrimoine </w:t>
            </w:r>
            <w:r w:rsidRPr="006973B5">
              <w:rPr>
                <w:rFonts w:ascii="Times New Roman" w:hAnsi="Times New Roman" w:cs="Times New Roman"/>
                <w:sz w:val="20"/>
                <w:szCs w:val="24"/>
              </w:rPr>
              <w:lastRenderedPageBreak/>
              <w:t>de l’humanité par l’UNESCO (Djenné et</w:t>
            </w:r>
          </w:p>
          <w:p w:rsidR="008175A7" w:rsidRPr="006973B5" w:rsidRDefault="008175A7" w:rsidP="008175A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Pays Dogon), le tourisme est favorisé par :</w:t>
            </w:r>
          </w:p>
          <w:p w:rsidR="008175A7" w:rsidRPr="006973B5" w:rsidRDefault="008175A7" w:rsidP="008175A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diversité des activités touristiques et artisanales ;</w:t>
            </w:r>
          </w:p>
          <w:p w:rsidR="008175A7" w:rsidRPr="006973B5" w:rsidRDefault="008175A7" w:rsidP="008175A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la présence de potentialités éco-touristiques (site Ramsar dans le Delta Intérieur du</w:t>
            </w:r>
          </w:p>
          <w:p w:rsidR="008175A7" w:rsidRPr="006973B5" w:rsidRDefault="008175A7" w:rsidP="008175A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Niger) ;</w:t>
            </w:r>
          </w:p>
          <w:p w:rsidR="00DA1A89" w:rsidRPr="006973B5" w:rsidRDefault="008175A7" w:rsidP="008175A7">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 le développement des infrastructures d’accueil et d’hébergement</w:t>
            </w:r>
          </w:p>
        </w:tc>
        <w:tc>
          <w:tcPr>
            <w:tcW w:w="3441" w:type="dxa"/>
          </w:tcPr>
          <w:p w:rsidR="008175A7" w:rsidRPr="006973B5" w:rsidRDefault="008175A7" w:rsidP="008175A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une faible connaissance des textes législatifs qui se manifeste par une application</w:t>
            </w:r>
          </w:p>
          <w:p w:rsidR="008175A7" w:rsidRPr="006973B5" w:rsidRDefault="008175A7" w:rsidP="008175A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inadaptée des taxes de visite touristique ;</w:t>
            </w:r>
          </w:p>
          <w:p w:rsidR="008175A7" w:rsidRPr="006973B5" w:rsidRDefault="008175A7" w:rsidP="008175A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 manque de structures de formation en tourisme/hôtellerie ;</w:t>
            </w:r>
          </w:p>
          <w:p w:rsidR="008175A7" w:rsidRPr="006973B5" w:rsidRDefault="008175A7" w:rsidP="008175A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le sous-équipement des hôtels en technologie de communication ;</w:t>
            </w:r>
          </w:p>
          <w:p w:rsidR="008175A7" w:rsidRPr="006973B5" w:rsidRDefault="008175A7" w:rsidP="008175A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 une faible exploitation et valorisation des potentialités éco-touristiques de la région en</w:t>
            </w:r>
          </w:p>
          <w:p w:rsidR="008175A7" w:rsidRPr="006973B5" w:rsidRDefault="008175A7" w:rsidP="008175A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particulier au niveau du Delta intérieur du Niger ;</w:t>
            </w:r>
          </w:p>
          <w:p w:rsidR="00DA1A89" w:rsidRPr="006973B5" w:rsidRDefault="008175A7" w:rsidP="008175A7">
            <w:pPr>
              <w:autoSpaceDE w:val="0"/>
              <w:autoSpaceDN w:val="0"/>
              <w:adjustRightInd w:val="0"/>
              <w:spacing w:line="276" w:lineRule="auto"/>
              <w:jc w:val="both"/>
              <w:rPr>
                <w:rFonts w:ascii="Times New Roman" w:hAnsi="Times New Roman" w:cs="Times New Roman"/>
                <w:sz w:val="20"/>
                <w:szCs w:val="24"/>
              </w:rPr>
            </w:pPr>
            <w:r w:rsidRPr="006973B5">
              <w:rPr>
                <w:rFonts w:ascii="Times New Roman" w:hAnsi="Times New Roman" w:cs="Times New Roman"/>
                <w:sz w:val="20"/>
                <w:szCs w:val="24"/>
              </w:rPr>
              <w:t>- l’enclavement des zones de destination touristique</w:t>
            </w:r>
          </w:p>
        </w:tc>
        <w:tc>
          <w:tcPr>
            <w:tcW w:w="4845" w:type="dxa"/>
          </w:tcPr>
          <w:p w:rsidR="008175A7" w:rsidRPr="006973B5" w:rsidRDefault="00A4616C" w:rsidP="008175A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 xml:space="preserve">- </w:t>
            </w:r>
            <w:r w:rsidR="008175A7" w:rsidRPr="006973B5">
              <w:rPr>
                <w:rFonts w:ascii="Times New Roman" w:hAnsi="Times New Roman" w:cs="Times New Roman"/>
                <w:sz w:val="20"/>
                <w:szCs w:val="24"/>
              </w:rPr>
              <w:t>favoriser le désenclavement des zones touristiques ;</w:t>
            </w:r>
          </w:p>
          <w:p w:rsidR="008175A7" w:rsidRPr="006973B5" w:rsidRDefault="008175A7" w:rsidP="008175A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promouvoir le développement de l’éco-tourisme surtout au niveau du Delta intérieur</w:t>
            </w:r>
          </w:p>
          <w:p w:rsidR="008175A7" w:rsidRPr="006973B5" w:rsidRDefault="008175A7" w:rsidP="008175A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du Niger ;</w:t>
            </w:r>
          </w:p>
          <w:p w:rsidR="008175A7" w:rsidRPr="006973B5" w:rsidRDefault="008175A7" w:rsidP="008175A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améliorer l’offre d’hébergement de qualité et de services internet dans les hôtels ;</w:t>
            </w:r>
          </w:p>
          <w:p w:rsidR="008175A7" w:rsidRPr="006973B5" w:rsidRDefault="008175A7" w:rsidP="008175A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promouvoir le développement de structures de formation en tourisme/hôtellerie ;</w:t>
            </w:r>
          </w:p>
          <w:p w:rsidR="008175A7" w:rsidRPr="006973B5" w:rsidRDefault="008175A7" w:rsidP="008175A7">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t>- renforcer les capacités techniques des acteurs de la filière ;</w:t>
            </w:r>
          </w:p>
          <w:p w:rsidR="00DA1A89" w:rsidRPr="006973B5" w:rsidRDefault="008175A7" w:rsidP="00A4616C">
            <w:pPr>
              <w:autoSpaceDE w:val="0"/>
              <w:autoSpaceDN w:val="0"/>
              <w:adjustRightInd w:val="0"/>
              <w:rPr>
                <w:rFonts w:ascii="Times New Roman" w:hAnsi="Times New Roman" w:cs="Times New Roman"/>
                <w:sz w:val="20"/>
                <w:szCs w:val="24"/>
              </w:rPr>
            </w:pPr>
            <w:r w:rsidRPr="006973B5">
              <w:rPr>
                <w:rFonts w:ascii="Times New Roman" w:hAnsi="Times New Roman" w:cs="Times New Roman"/>
                <w:sz w:val="20"/>
                <w:szCs w:val="24"/>
              </w:rPr>
              <w:lastRenderedPageBreak/>
              <w:t>- réaliser l’inventaire, la sauvegarde et la revalorisation du patrimoine culturel,</w:t>
            </w:r>
            <w:r w:rsidR="00A4616C" w:rsidRPr="006973B5">
              <w:rPr>
                <w:rFonts w:ascii="Times New Roman" w:hAnsi="Times New Roman" w:cs="Times New Roman"/>
                <w:sz w:val="20"/>
                <w:szCs w:val="24"/>
              </w:rPr>
              <w:t xml:space="preserve"> </w:t>
            </w:r>
            <w:r w:rsidRPr="006973B5">
              <w:rPr>
                <w:rFonts w:ascii="Times New Roman" w:hAnsi="Times New Roman" w:cs="Times New Roman"/>
                <w:sz w:val="20"/>
                <w:szCs w:val="24"/>
              </w:rPr>
              <w:t>artistique, artisanal et touristique régional.</w:t>
            </w:r>
          </w:p>
        </w:tc>
      </w:tr>
    </w:tbl>
    <w:p w:rsidR="00E05DBD" w:rsidRPr="006973B5" w:rsidRDefault="00E05DBD" w:rsidP="00E05DBD">
      <w:pPr>
        <w:autoSpaceDE w:val="0"/>
        <w:autoSpaceDN w:val="0"/>
        <w:adjustRightInd w:val="0"/>
        <w:spacing w:after="0" w:line="276" w:lineRule="auto"/>
        <w:rPr>
          <w:rFonts w:ascii="Times New Roman" w:hAnsi="Times New Roman" w:cs="Times New Roman"/>
          <w:i/>
          <w:sz w:val="24"/>
          <w:szCs w:val="24"/>
        </w:rPr>
        <w:sectPr w:rsidR="00E05DBD" w:rsidRPr="006973B5" w:rsidSect="00DA1A89">
          <w:pgSz w:w="16838" w:h="11906" w:orient="landscape"/>
          <w:pgMar w:top="1134" w:right="1134" w:bottom="1134" w:left="1134" w:header="709" w:footer="709" w:gutter="0"/>
          <w:cols w:space="708"/>
          <w:docGrid w:linePitch="360"/>
        </w:sectPr>
      </w:pPr>
      <w:r w:rsidRPr="006973B5">
        <w:rPr>
          <w:rFonts w:ascii="Times New Roman" w:hAnsi="Times New Roman" w:cs="Times New Roman"/>
          <w:i/>
          <w:sz w:val="24"/>
          <w:szCs w:val="24"/>
          <w:u w:val="single"/>
        </w:rPr>
        <w:lastRenderedPageBreak/>
        <w:t>Source</w:t>
      </w:r>
      <w:r w:rsidRPr="006973B5">
        <w:rPr>
          <w:rFonts w:ascii="Times New Roman" w:hAnsi="Times New Roman" w:cs="Times New Roman"/>
          <w:i/>
          <w:sz w:val="24"/>
          <w:szCs w:val="24"/>
        </w:rPr>
        <w:t> : Rapport finale : étude diagnostique des secteurs économiques porteurs et espace économique partagés dans la région de Mopti, mars 2012, Assemblée régionale de Mopti.</w:t>
      </w:r>
    </w:p>
    <w:p w:rsidR="00E7738D" w:rsidRPr="006973B5" w:rsidRDefault="00E7738D" w:rsidP="00937EDF">
      <w:pPr>
        <w:pStyle w:val="Titre2"/>
        <w:numPr>
          <w:ilvl w:val="1"/>
          <w:numId w:val="14"/>
        </w:numPr>
        <w:rPr>
          <w:rFonts w:ascii="Times New Roman" w:hAnsi="Times New Roman" w:cs="Times New Roman"/>
          <w:b/>
          <w:color w:val="auto"/>
        </w:rPr>
      </w:pPr>
      <w:bookmarkStart w:id="66" w:name="_Toc516676430"/>
      <w:r w:rsidRPr="006973B5">
        <w:rPr>
          <w:rFonts w:ascii="Times New Roman" w:hAnsi="Times New Roman" w:cs="Times New Roman"/>
          <w:b/>
          <w:color w:val="auto"/>
        </w:rPr>
        <w:lastRenderedPageBreak/>
        <w:t>Perceptions et opinions des principaux acteurs</w:t>
      </w:r>
      <w:bookmarkEnd w:id="66"/>
    </w:p>
    <w:p w:rsidR="00937EDF" w:rsidRPr="006973B5" w:rsidRDefault="00937EDF" w:rsidP="00937EDF"/>
    <w:p w:rsidR="00AC546E" w:rsidRPr="006973B5" w:rsidRDefault="00F570A5" w:rsidP="00D91D53">
      <w:pPr>
        <w:spacing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Dans cette partie, nous analysons les perceptions et opinions des principaux acteurs du marché du travail. Il s’agit principalement, des employeurs, des structures gouvernementales et des organisations professionnelles</w:t>
      </w:r>
      <w:r w:rsidR="00D91D53" w:rsidRPr="006973B5">
        <w:rPr>
          <w:rFonts w:ascii="Times New Roman" w:hAnsi="Times New Roman" w:cs="Times New Roman"/>
          <w:bCs/>
          <w:iCs/>
          <w:sz w:val="24"/>
          <w:szCs w:val="20"/>
        </w:rPr>
        <w:t>.</w:t>
      </w:r>
      <w:r w:rsidRPr="006973B5">
        <w:rPr>
          <w:rFonts w:ascii="Times New Roman" w:hAnsi="Times New Roman" w:cs="Times New Roman"/>
          <w:bCs/>
          <w:iCs/>
          <w:sz w:val="24"/>
          <w:szCs w:val="20"/>
        </w:rPr>
        <w:t xml:space="preserve"> </w:t>
      </w:r>
    </w:p>
    <w:p w:rsidR="00AC546E" w:rsidRPr="006973B5" w:rsidRDefault="00AC546E" w:rsidP="00AC546E">
      <w:pPr>
        <w:autoSpaceDE w:val="0"/>
        <w:autoSpaceDN w:val="0"/>
        <w:adjustRightInd w:val="0"/>
        <w:spacing w:after="0" w:line="276" w:lineRule="auto"/>
        <w:jc w:val="both"/>
        <w:rPr>
          <w:rFonts w:ascii="Times New Roman" w:hAnsi="Times New Roman" w:cs="Times New Roman"/>
          <w:sz w:val="24"/>
          <w:szCs w:val="24"/>
        </w:rPr>
      </w:pPr>
    </w:p>
    <w:p w:rsidR="001F1265" w:rsidRPr="006973B5" w:rsidRDefault="00E559BA" w:rsidP="00937EDF">
      <w:pPr>
        <w:pStyle w:val="Paragraphedeliste"/>
        <w:numPr>
          <w:ilvl w:val="2"/>
          <w:numId w:val="14"/>
        </w:numPr>
        <w:autoSpaceDE w:val="0"/>
        <w:autoSpaceDN w:val="0"/>
        <w:adjustRightInd w:val="0"/>
        <w:spacing w:after="0" w:line="276" w:lineRule="auto"/>
        <w:jc w:val="both"/>
        <w:rPr>
          <w:rFonts w:ascii="Times New Roman" w:hAnsi="Times New Roman" w:cs="Times New Roman"/>
          <w:b/>
          <w:bCs/>
          <w:i/>
          <w:iCs/>
          <w:sz w:val="24"/>
          <w:szCs w:val="20"/>
        </w:rPr>
      </w:pPr>
      <w:r w:rsidRPr="006973B5">
        <w:rPr>
          <w:rFonts w:ascii="Times New Roman" w:hAnsi="Times New Roman" w:cs="Times New Roman"/>
          <w:b/>
          <w:bCs/>
          <w:i/>
          <w:iCs/>
          <w:sz w:val="24"/>
          <w:szCs w:val="20"/>
        </w:rPr>
        <w:t xml:space="preserve">Les </w:t>
      </w:r>
      <w:r w:rsidR="001F1265" w:rsidRPr="006973B5">
        <w:rPr>
          <w:rFonts w:ascii="Times New Roman" w:hAnsi="Times New Roman" w:cs="Times New Roman"/>
          <w:b/>
          <w:bCs/>
          <w:i/>
          <w:iCs/>
          <w:sz w:val="24"/>
          <w:szCs w:val="20"/>
        </w:rPr>
        <w:t>potentialités économiques des régions</w:t>
      </w:r>
      <w:r w:rsidRPr="006973B5">
        <w:rPr>
          <w:rFonts w:ascii="Times New Roman" w:hAnsi="Times New Roman" w:cs="Times New Roman"/>
          <w:b/>
          <w:bCs/>
          <w:i/>
          <w:iCs/>
          <w:sz w:val="24"/>
          <w:szCs w:val="20"/>
        </w:rPr>
        <w:t xml:space="preserve"> selon les acteurs</w:t>
      </w:r>
    </w:p>
    <w:p w:rsidR="00D91D53" w:rsidRPr="006973B5" w:rsidRDefault="00D91D53" w:rsidP="00D91D53">
      <w:pPr>
        <w:pStyle w:val="Paragraphedeliste"/>
        <w:autoSpaceDE w:val="0"/>
        <w:autoSpaceDN w:val="0"/>
        <w:adjustRightInd w:val="0"/>
        <w:spacing w:after="0" w:line="276" w:lineRule="auto"/>
        <w:jc w:val="both"/>
        <w:rPr>
          <w:rFonts w:ascii="Times New Roman" w:hAnsi="Times New Roman" w:cs="Times New Roman"/>
          <w:b/>
          <w:bCs/>
          <w:iCs/>
          <w:sz w:val="24"/>
          <w:szCs w:val="20"/>
        </w:rPr>
      </w:pPr>
    </w:p>
    <w:p w:rsidR="00386C95" w:rsidRPr="006973B5" w:rsidRDefault="00082A08" w:rsidP="00D91D53">
      <w:pPr>
        <w:spacing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Les principaux </w:t>
      </w:r>
      <w:r w:rsidR="0020413C" w:rsidRPr="006973B5">
        <w:rPr>
          <w:rFonts w:ascii="Times New Roman" w:hAnsi="Times New Roman" w:cs="Times New Roman"/>
          <w:bCs/>
          <w:iCs/>
          <w:sz w:val="24"/>
          <w:szCs w:val="20"/>
        </w:rPr>
        <w:t xml:space="preserve">acteurs </w:t>
      </w:r>
      <w:r w:rsidRPr="006973B5">
        <w:rPr>
          <w:rFonts w:ascii="Times New Roman" w:hAnsi="Times New Roman" w:cs="Times New Roman"/>
          <w:bCs/>
          <w:iCs/>
          <w:sz w:val="24"/>
          <w:szCs w:val="20"/>
        </w:rPr>
        <w:t xml:space="preserve">du marché du travail </w:t>
      </w:r>
      <w:r w:rsidR="0020413C" w:rsidRPr="006973B5">
        <w:rPr>
          <w:rFonts w:ascii="Times New Roman" w:hAnsi="Times New Roman" w:cs="Times New Roman"/>
          <w:bCs/>
          <w:iCs/>
          <w:sz w:val="24"/>
          <w:szCs w:val="20"/>
        </w:rPr>
        <w:t>(l</w:t>
      </w:r>
      <w:r w:rsidRPr="006973B5">
        <w:rPr>
          <w:rFonts w:ascii="Times New Roman" w:hAnsi="Times New Roman" w:cs="Times New Roman"/>
          <w:bCs/>
          <w:iCs/>
          <w:sz w:val="24"/>
          <w:szCs w:val="20"/>
        </w:rPr>
        <w:t>es organisations professionnelles, les employeurs et de structures étatiques</w:t>
      </w:r>
      <w:r w:rsidR="0020413C" w:rsidRPr="006973B5">
        <w:rPr>
          <w:rFonts w:ascii="Times New Roman" w:hAnsi="Times New Roman" w:cs="Times New Roman"/>
          <w:bCs/>
          <w:iCs/>
          <w:sz w:val="24"/>
          <w:szCs w:val="20"/>
        </w:rPr>
        <w:t>)</w:t>
      </w:r>
      <w:r w:rsidRPr="006973B5">
        <w:rPr>
          <w:rFonts w:ascii="Times New Roman" w:hAnsi="Times New Roman" w:cs="Times New Roman"/>
          <w:bCs/>
          <w:iCs/>
          <w:sz w:val="24"/>
          <w:szCs w:val="20"/>
        </w:rPr>
        <w:t xml:space="preserve"> qui ont été interviewés </w:t>
      </w:r>
      <w:r w:rsidR="0020413C" w:rsidRPr="006973B5">
        <w:rPr>
          <w:rFonts w:ascii="Times New Roman" w:hAnsi="Times New Roman" w:cs="Times New Roman"/>
          <w:bCs/>
          <w:iCs/>
          <w:sz w:val="24"/>
          <w:szCs w:val="20"/>
        </w:rPr>
        <w:t>dans le cadre de cette étude ont pour la plupart cité le secteur agro-sylvo-pastoral comme étant un secteur qui regorge des potentialités économiques énormes</w:t>
      </w:r>
      <w:r w:rsidR="004839A6" w:rsidRPr="006973B5">
        <w:rPr>
          <w:rFonts w:ascii="Times New Roman" w:hAnsi="Times New Roman" w:cs="Times New Roman"/>
          <w:bCs/>
          <w:iCs/>
          <w:sz w:val="24"/>
          <w:szCs w:val="20"/>
        </w:rPr>
        <w:t xml:space="preserve"> dans toutes les régions et particulièrement </w:t>
      </w:r>
      <w:r w:rsidR="00B60384" w:rsidRPr="006973B5">
        <w:rPr>
          <w:rFonts w:ascii="Times New Roman" w:hAnsi="Times New Roman" w:cs="Times New Roman"/>
          <w:bCs/>
          <w:iCs/>
          <w:sz w:val="24"/>
          <w:szCs w:val="20"/>
        </w:rPr>
        <w:t xml:space="preserve">dans </w:t>
      </w:r>
      <w:r w:rsidR="004839A6" w:rsidRPr="006973B5">
        <w:rPr>
          <w:rFonts w:ascii="Times New Roman" w:hAnsi="Times New Roman" w:cs="Times New Roman"/>
          <w:bCs/>
          <w:iCs/>
          <w:sz w:val="24"/>
          <w:szCs w:val="20"/>
        </w:rPr>
        <w:t xml:space="preserve">la région de Sikasso. </w:t>
      </w:r>
      <w:r w:rsidR="008B5869" w:rsidRPr="006973B5">
        <w:rPr>
          <w:rFonts w:ascii="Times New Roman" w:hAnsi="Times New Roman" w:cs="Times New Roman"/>
          <w:bCs/>
          <w:iCs/>
          <w:sz w:val="24"/>
          <w:szCs w:val="20"/>
        </w:rPr>
        <w:t>Ce résultat confirme les données du tableau N°1, où nous avons constaté que plus de 80% des jeunes âgés de 15 à 24 ans évoluent dans ce secteur</w:t>
      </w:r>
      <w:r w:rsidR="00287135" w:rsidRPr="006973B5">
        <w:rPr>
          <w:rFonts w:ascii="Times New Roman" w:hAnsi="Times New Roman" w:cs="Times New Roman"/>
          <w:bCs/>
          <w:iCs/>
          <w:sz w:val="24"/>
          <w:szCs w:val="20"/>
        </w:rPr>
        <w:t xml:space="preserve"> dans les régions de Kayes, Sikasso, Ségou, Mopti</w:t>
      </w:r>
      <w:r w:rsidR="008B5869" w:rsidRPr="006973B5">
        <w:rPr>
          <w:rFonts w:ascii="Times New Roman" w:hAnsi="Times New Roman" w:cs="Times New Roman"/>
          <w:bCs/>
          <w:iCs/>
          <w:sz w:val="24"/>
          <w:szCs w:val="20"/>
        </w:rPr>
        <w:t xml:space="preserve">. </w:t>
      </w:r>
      <w:r w:rsidR="00B21AAE" w:rsidRPr="006973B5">
        <w:rPr>
          <w:rFonts w:ascii="Times New Roman" w:hAnsi="Times New Roman" w:cs="Times New Roman"/>
          <w:bCs/>
          <w:iCs/>
          <w:sz w:val="24"/>
          <w:szCs w:val="20"/>
        </w:rPr>
        <w:t>Ce secteur est le principal secteur pourvoyeur d’emplois des régions concernées.</w:t>
      </w:r>
      <w:r w:rsidR="00D91D53" w:rsidRPr="006973B5">
        <w:rPr>
          <w:rFonts w:ascii="Times New Roman" w:hAnsi="Times New Roman" w:cs="Times New Roman"/>
          <w:bCs/>
          <w:iCs/>
          <w:sz w:val="24"/>
          <w:szCs w:val="20"/>
        </w:rPr>
        <w:t xml:space="preserve"> La prédominance de ce secteur est </w:t>
      </w:r>
      <w:r w:rsidR="00B60384" w:rsidRPr="006973B5">
        <w:rPr>
          <w:rFonts w:ascii="Times New Roman" w:hAnsi="Times New Roman" w:cs="Times New Roman"/>
          <w:bCs/>
          <w:iCs/>
          <w:sz w:val="24"/>
          <w:szCs w:val="20"/>
        </w:rPr>
        <w:t>due</w:t>
      </w:r>
      <w:r w:rsidR="00386C95" w:rsidRPr="006973B5">
        <w:rPr>
          <w:rFonts w:ascii="Times New Roman" w:hAnsi="Times New Roman" w:cs="Times New Roman"/>
          <w:bCs/>
          <w:iCs/>
          <w:sz w:val="24"/>
          <w:szCs w:val="20"/>
        </w:rPr>
        <w:t xml:space="preserve"> en grande partie aux conditions climatiques et hydrologiques de ces régions.  </w:t>
      </w:r>
    </w:p>
    <w:p w:rsidR="00082A08" w:rsidRPr="006973B5" w:rsidRDefault="00386C95" w:rsidP="00D91D53">
      <w:pPr>
        <w:spacing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Le secteur agro-sylvo-pastoral dispose des filières spécifiques à chaque région, qui pourront créer des mil</w:t>
      </w:r>
      <w:r w:rsidR="00B60384" w:rsidRPr="006973B5">
        <w:rPr>
          <w:rFonts w:ascii="Times New Roman" w:hAnsi="Times New Roman" w:cs="Times New Roman"/>
          <w:bCs/>
          <w:iCs/>
          <w:sz w:val="24"/>
          <w:szCs w:val="20"/>
        </w:rPr>
        <w:t>l</w:t>
      </w:r>
      <w:r w:rsidRPr="006973B5">
        <w:rPr>
          <w:rFonts w:ascii="Times New Roman" w:hAnsi="Times New Roman" w:cs="Times New Roman"/>
          <w:bCs/>
          <w:iCs/>
          <w:sz w:val="24"/>
          <w:szCs w:val="20"/>
        </w:rPr>
        <w:t>ie</w:t>
      </w:r>
      <w:r w:rsidR="00B60384" w:rsidRPr="006973B5">
        <w:rPr>
          <w:rFonts w:ascii="Times New Roman" w:hAnsi="Times New Roman" w:cs="Times New Roman"/>
          <w:bCs/>
          <w:iCs/>
          <w:sz w:val="24"/>
          <w:szCs w:val="20"/>
        </w:rPr>
        <w:t>rs</w:t>
      </w:r>
      <w:r w:rsidRPr="006973B5">
        <w:rPr>
          <w:rFonts w:ascii="Times New Roman" w:hAnsi="Times New Roman" w:cs="Times New Roman"/>
          <w:bCs/>
          <w:iCs/>
          <w:sz w:val="24"/>
          <w:szCs w:val="20"/>
        </w:rPr>
        <w:t xml:space="preserve"> emplois pour les jeunes. </w:t>
      </w:r>
    </w:p>
    <w:p w:rsidR="00386C95" w:rsidRPr="006973B5" w:rsidRDefault="00C82606" w:rsidP="00937EDF">
      <w:pPr>
        <w:pStyle w:val="Paragraphedeliste"/>
        <w:numPr>
          <w:ilvl w:val="2"/>
          <w:numId w:val="14"/>
        </w:numPr>
        <w:autoSpaceDE w:val="0"/>
        <w:autoSpaceDN w:val="0"/>
        <w:adjustRightInd w:val="0"/>
        <w:spacing w:after="0" w:line="276" w:lineRule="auto"/>
        <w:jc w:val="both"/>
        <w:rPr>
          <w:rFonts w:ascii="Times New Roman" w:hAnsi="Times New Roman" w:cs="Times New Roman"/>
          <w:b/>
          <w:bCs/>
          <w:i/>
          <w:iCs/>
          <w:sz w:val="24"/>
          <w:szCs w:val="20"/>
        </w:rPr>
      </w:pPr>
      <w:r w:rsidRPr="006973B5">
        <w:rPr>
          <w:rFonts w:ascii="Times New Roman" w:hAnsi="Times New Roman" w:cs="Times New Roman"/>
          <w:b/>
          <w:bCs/>
          <w:i/>
          <w:iCs/>
          <w:sz w:val="24"/>
          <w:szCs w:val="20"/>
        </w:rPr>
        <w:t xml:space="preserve">Suggestions des </w:t>
      </w:r>
      <w:r w:rsidR="00386C95" w:rsidRPr="006973B5">
        <w:rPr>
          <w:rFonts w:ascii="Times New Roman" w:hAnsi="Times New Roman" w:cs="Times New Roman"/>
          <w:b/>
          <w:bCs/>
          <w:i/>
          <w:iCs/>
          <w:sz w:val="24"/>
          <w:szCs w:val="20"/>
        </w:rPr>
        <w:t xml:space="preserve">acteurs </w:t>
      </w:r>
      <w:r w:rsidRPr="006973B5">
        <w:rPr>
          <w:rFonts w:ascii="Times New Roman" w:hAnsi="Times New Roman" w:cs="Times New Roman"/>
          <w:b/>
          <w:bCs/>
          <w:i/>
          <w:iCs/>
          <w:sz w:val="24"/>
          <w:szCs w:val="20"/>
        </w:rPr>
        <w:t>pour une meilleure</w:t>
      </w:r>
      <w:r w:rsidR="00783482" w:rsidRPr="006973B5">
        <w:rPr>
          <w:rFonts w:ascii="Times New Roman" w:hAnsi="Times New Roman" w:cs="Times New Roman"/>
          <w:b/>
          <w:bCs/>
          <w:i/>
          <w:iCs/>
          <w:sz w:val="24"/>
          <w:szCs w:val="20"/>
        </w:rPr>
        <w:t xml:space="preserve"> promotion de l’emploi </w:t>
      </w:r>
      <w:r w:rsidR="00386C95" w:rsidRPr="006973B5">
        <w:rPr>
          <w:rFonts w:ascii="Times New Roman" w:hAnsi="Times New Roman" w:cs="Times New Roman"/>
          <w:b/>
          <w:bCs/>
          <w:i/>
          <w:iCs/>
          <w:sz w:val="24"/>
          <w:szCs w:val="20"/>
        </w:rPr>
        <w:t>des jeunes</w:t>
      </w:r>
    </w:p>
    <w:p w:rsidR="00737362" w:rsidRPr="006973B5" w:rsidRDefault="00737362" w:rsidP="00737362">
      <w:pPr>
        <w:autoSpaceDE w:val="0"/>
        <w:autoSpaceDN w:val="0"/>
        <w:adjustRightInd w:val="0"/>
        <w:spacing w:after="0" w:line="276" w:lineRule="auto"/>
        <w:jc w:val="both"/>
        <w:rPr>
          <w:rFonts w:ascii="Times New Roman" w:hAnsi="Times New Roman" w:cs="Times New Roman"/>
          <w:b/>
          <w:bCs/>
          <w:iCs/>
          <w:sz w:val="24"/>
          <w:szCs w:val="20"/>
        </w:rPr>
      </w:pPr>
    </w:p>
    <w:p w:rsidR="00D62E91" w:rsidRPr="006973B5" w:rsidRDefault="009600D6" w:rsidP="00E84EE6">
      <w:pPr>
        <w:spacing w:line="276" w:lineRule="auto"/>
        <w:jc w:val="both"/>
        <w:rPr>
          <w:rFonts w:ascii="Times New Roman" w:hAnsi="Times New Roman" w:cs="Times New Roman"/>
          <w:i/>
          <w:sz w:val="24"/>
        </w:rPr>
      </w:pPr>
      <w:r w:rsidRPr="006973B5">
        <w:rPr>
          <w:rFonts w:ascii="Times New Roman" w:hAnsi="Times New Roman" w:cs="Times New Roman"/>
          <w:sz w:val="24"/>
        </w:rPr>
        <w:t>S’adressant aux autorités, l</w:t>
      </w:r>
      <w:r w:rsidR="00B60384" w:rsidRPr="006973B5">
        <w:rPr>
          <w:rFonts w:ascii="Times New Roman" w:hAnsi="Times New Roman" w:cs="Times New Roman"/>
          <w:sz w:val="24"/>
        </w:rPr>
        <w:t xml:space="preserve">a </w:t>
      </w:r>
      <w:r w:rsidR="00D02EBA" w:rsidRPr="006973B5">
        <w:rPr>
          <w:rFonts w:ascii="Times New Roman" w:hAnsi="Times New Roman" w:cs="Times New Roman"/>
          <w:sz w:val="24"/>
        </w:rPr>
        <w:t>plupart</w:t>
      </w:r>
      <w:r w:rsidR="00B60384" w:rsidRPr="006973B5">
        <w:rPr>
          <w:rFonts w:ascii="Times New Roman" w:hAnsi="Times New Roman" w:cs="Times New Roman"/>
          <w:sz w:val="24"/>
        </w:rPr>
        <w:t xml:space="preserve"> des acteurs interrogés estime que </w:t>
      </w:r>
      <w:r w:rsidR="00737362" w:rsidRPr="006973B5">
        <w:rPr>
          <w:rFonts w:ascii="Times New Roman" w:hAnsi="Times New Roman" w:cs="Times New Roman"/>
          <w:sz w:val="24"/>
        </w:rPr>
        <w:t>l’Etat doit encourager la création d’</w:t>
      </w:r>
      <w:r w:rsidR="00D72F6A" w:rsidRPr="006973B5">
        <w:rPr>
          <w:rFonts w:ascii="Times New Roman" w:hAnsi="Times New Roman" w:cs="Times New Roman"/>
          <w:sz w:val="24"/>
        </w:rPr>
        <w:t xml:space="preserve">entreprises </w:t>
      </w:r>
      <w:r w:rsidR="00D11530" w:rsidRPr="006973B5">
        <w:rPr>
          <w:rFonts w:ascii="Times New Roman" w:hAnsi="Times New Roman" w:cs="Times New Roman"/>
          <w:sz w:val="24"/>
        </w:rPr>
        <w:t xml:space="preserve">(l’entreprenariat) </w:t>
      </w:r>
      <w:r w:rsidR="00D72F6A" w:rsidRPr="006973B5">
        <w:rPr>
          <w:rFonts w:ascii="Times New Roman" w:hAnsi="Times New Roman" w:cs="Times New Roman"/>
          <w:sz w:val="24"/>
        </w:rPr>
        <w:t>dans le domaine de la transformation des produits agricoles.</w:t>
      </w:r>
      <w:r w:rsidR="00D02EBA" w:rsidRPr="006973B5">
        <w:rPr>
          <w:rFonts w:ascii="Times New Roman" w:hAnsi="Times New Roman" w:cs="Times New Roman"/>
          <w:sz w:val="24"/>
        </w:rPr>
        <w:t xml:space="preserve"> La création de ces entreprises permet </w:t>
      </w:r>
      <w:r w:rsidR="00726986" w:rsidRPr="006973B5">
        <w:rPr>
          <w:rFonts w:ascii="Times New Roman" w:hAnsi="Times New Roman" w:cs="Times New Roman"/>
          <w:sz w:val="24"/>
        </w:rPr>
        <w:t>de développer</w:t>
      </w:r>
      <w:r w:rsidR="00404DA3" w:rsidRPr="006973B5">
        <w:rPr>
          <w:rFonts w:ascii="Times New Roman" w:hAnsi="Times New Roman" w:cs="Times New Roman"/>
          <w:sz w:val="24"/>
        </w:rPr>
        <w:t xml:space="preserve"> le secteur privé et de </w:t>
      </w:r>
      <w:r w:rsidR="00D02EBA" w:rsidRPr="006973B5">
        <w:rPr>
          <w:rFonts w:ascii="Times New Roman" w:hAnsi="Times New Roman" w:cs="Times New Roman"/>
          <w:sz w:val="24"/>
        </w:rPr>
        <w:t xml:space="preserve">créer </w:t>
      </w:r>
      <w:r w:rsidR="00404DA3" w:rsidRPr="006973B5">
        <w:rPr>
          <w:rFonts w:ascii="Times New Roman" w:hAnsi="Times New Roman" w:cs="Times New Roman"/>
          <w:sz w:val="24"/>
        </w:rPr>
        <w:t xml:space="preserve">plus de </w:t>
      </w:r>
      <w:r w:rsidR="00D02EBA" w:rsidRPr="006973B5">
        <w:rPr>
          <w:rFonts w:ascii="Times New Roman" w:hAnsi="Times New Roman" w:cs="Times New Roman"/>
          <w:sz w:val="24"/>
        </w:rPr>
        <w:t>valeur</w:t>
      </w:r>
      <w:r w:rsidR="00404DA3" w:rsidRPr="006973B5">
        <w:rPr>
          <w:rFonts w:ascii="Times New Roman" w:hAnsi="Times New Roman" w:cs="Times New Roman"/>
          <w:sz w:val="24"/>
        </w:rPr>
        <w:t>s</w:t>
      </w:r>
      <w:r w:rsidR="00D02EBA" w:rsidRPr="006973B5">
        <w:rPr>
          <w:rFonts w:ascii="Times New Roman" w:hAnsi="Times New Roman" w:cs="Times New Roman"/>
          <w:sz w:val="24"/>
        </w:rPr>
        <w:t xml:space="preserve"> ajoutée</w:t>
      </w:r>
      <w:r w:rsidR="00726986" w:rsidRPr="006973B5">
        <w:rPr>
          <w:rFonts w:ascii="Times New Roman" w:hAnsi="Times New Roman" w:cs="Times New Roman"/>
          <w:sz w:val="24"/>
        </w:rPr>
        <w:t>s</w:t>
      </w:r>
      <w:r w:rsidR="00404DA3" w:rsidRPr="006973B5">
        <w:rPr>
          <w:rFonts w:ascii="Times New Roman" w:hAnsi="Times New Roman" w:cs="Times New Roman"/>
          <w:sz w:val="24"/>
        </w:rPr>
        <w:t xml:space="preserve">. </w:t>
      </w:r>
      <w:r w:rsidR="00726986" w:rsidRPr="006973B5">
        <w:rPr>
          <w:rFonts w:ascii="Times New Roman" w:hAnsi="Times New Roman" w:cs="Times New Roman"/>
          <w:sz w:val="24"/>
        </w:rPr>
        <w:t>Pour atteindre cet objectif</w:t>
      </w:r>
      <w:r w:rsidR="00D11530" w:rsidRPr="006973B5">
        <w:rPr>
          <w:rFonts w:ascii="Times New Roman" w:hAnsi="Times New Roman" w:cs="Times New Roman"/>
          <w:sz w:val="24"/>
        </w:rPr>
        <w:t xml:space="preserve">, il faut </w:t>
      </w:r>
      <w:r w:rsidR="00D62E91" w:rsidRPr="006973B5">
        <w:rPr>
          <w:rFonts w:ascii="Times New Roman" w:hAnsi="Times New Roman" w:cs="Times New Roman"/>
          <w:sz w:val="24"/>
        </w:rPr>
        <w:t xml:space="preserve">inculquer aux jeunes les </w:t>
      </w:r>
      <w:r w:rsidR="008324D1" w:rsidRPr="006973B5">
        <w:rPr>
          <w:rFonts w:ascii="Times New Roman" w:hAnsi="Times New Roman" w:cs="Times New Roman"/>
          <w:sz w:val="24"/>
        </w:rPr>
        <w:t>valeurs telles que l’audace, la créativité, la responsabilité, la solidarité, la persévérance, la confiance en soi</w:t>
      </w:r>
      <w:r w:rsidR="00D62E91" w:rsidRPr="006973B5">
        <w:rPr>
          <w:rFonts w:ascii="Times New Roman" w:hAnsi="Times New Roman" w:cs="Times New Roman"/>
          <w:sz w:val="24"/>
        </w:rPr>
        <w:t>.</w:t>
      </w:r>
      <w:r w:rsidR="008324D1" w:rsidRPr="006973B5">
        <w:rPr>
          <w:rFonts w:ascii="Times New Roman" w:hAnsi="Times New Roman" w:cs="Times New Roman"/>
          <w:sz w:val="24"/>
        </w:rPr>
        <w:t xml:space="preserve"> </w:t>
      </w:r>
      <w:r w:rsidR="00D62E91" w:rsidRPr="006973B5">
        <w:rPr>
          <w:rFonts w:ascii="Times New Roman" w:hAnsi="Times New Roman" w:cs="Times New Roman"/>
          <w:sz w:val="24"/>
        </w:rPr>
        <w:t>Les</w:t>
      </w:r>
      <w:r w:rsidR="00A10D92" w:rsidRPr="006973B5">
        <w:rPr>
          <w:rFonts w:ascii="Times New Roman" w:hAnsi="Times New Roman" w:cs="Times New Roman"/>
          <w:sz w:val="24"/>
        </w:rPr>
        <w:t xml:space="preserve"> autorités pourront promouvoir l’auto-emploi en facilitant l’accès </w:t>
      </w:r>
      <w:r w:rsidR="00D62E91" w:rsidRPr="006973B5">
        <w:rPr>
          <w:rFonts w:ascii="Times New Roman" w:hAnsi="Times New Roman" w:cs="Times New Roman"/>
          <w:sz w:val="24"/>
        </w:rPr>
        <w:t>au micro crédit et l'accès à des services d’appui et à de la formation</w:t>
      </w:r>
      <w:r w:rsidR="003A095C" w:rsidRPr="006973B5">
        <w:rPr>
          <w:rFonts w:ascii="Times New Roman" w:hAnsi="Times New Roman" w:cs="Times New Roman"/>
          <w:sz w:val="24"/>
        </w:rPr>
        <w:t xml:space="preserve"> aux jeunes</w:t>
      </w:r>
      <w:r w:rsidR="005E2B1A" w:rsidRPr="006973B5">
        <w:rPr>
          <w:rFonts w:ascii="Times New Roman" w:hAnsi="Times New Roman" w:cs="Times New Roman"/>
          <w:sz w:val="24"/>
        </w:rPr>
        <w:t>.</w:t>
      </w:r>
      <w:r w:rsidR="00A90E29" w:rsidRPr="006973B5">
        <w:rPr>
          <w:rFonts w:ascii="Times New Roman" w:hAnsi="Times New Roman" w:cs="Times New Roman"/>
          <w:sz w:val="24"/>
        </w:rPr>
        <w:t xml:space="preserve"> C’est dans ce sens qu’un responsable régional a suggéré </w:t>
      </w:r>
      <w:r w:rsidR="00A90E29" w:rsidRPr="006973B5">
        <w:rPr>
          <w:rFonts w:ascii="Times New Roman" w:hAnsi="Times New Roman" w:cs="Times New Roman"/>
          <w:i/>
          <w:sz w:val="24"/>
        </w:rPr>
        <w:t xml:space="preserve">de « mettre l’accent sur l’entreprenariat à travers le financement des projets innovants notamment dans le secteur agricole ».  </w:t>
      </w:r>
    </w:p>
    <w:p w:rsidR="00D11530" w:rsidRPr="006973B5" w:rsidRDefault="00D11530" w:rsidP="00D62E91">
      <w:pPr>
        <w:autoSpaceDE w:val="0"/>
        <w:autoSpaceDN w:val="0"/>
        <w:adjustRightInd w:val="0"/>
        <w:spacing w:after="0" w:line="276" w:lineRule="auto"/>
        <w:jc w:val="both"/>
        <w:rPr>
          <w:rFonts w:ascii="Times New Roman" w:hAnsi="Times New Roman" w:cs="Times New Roman"/>
          <w:bCs/>
          <w:iCs/>
          <w:sz w:val="24"/>
          <w:szCs w:val="20"/>
        </w:rPr>
      </w:pPr>
    </w:p>
    <w:p w:rsidR="00211392" w:rsidRPr="006973B5" w:rsidRDefault="005E2B1A" w:rsidP="00737362">
      <w:pPr>
        <w:autoSpaceDE w:val="0"/>
        <w:autoSpaceDN w:val="0"/>
        <w:adjustRightInd w:val="0"/>
        <w:spacing w:after="0"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D’autres acteurs </w:t>
      </w:r>
      <w:r w:rsidR="003A095C" w:rsidRPr="006973B5">
        <w:rPr>
          <w:rFonts w:ascii="Times New Roman" w:hAnsi="Times New Roman" w:cs="Times New Roman"/>
          <w:bCs/>
          <w:iCs/>
          <w:sz w:val="24"/>
          <w:szCs w:val="20"/>
        </w:rPr>
        <w:t>par contre, estiment que</w:t>
      </w:r>
      <w:r w:rsidR="00097359" w:rsidRPr="006973B5">
        <w:rPr>
          <w:rFonts w:ascii="Times New Roman" w:hAnsi="Times New Roman" w:cs="Times New Roman"/>
          <w:bCs/>
          <w:iCs/>
          <w:sz w:val="24"/>
          <w:szCs w:val="20"/>
        </w:rPr>
        <w:t xml:space="preserve"> le</w:t>
      </w:r>
      <w:r w:rsidR="00D26C36" w:rsidRPr="006973B5">
        <w:rPr>
          <w:rFonts w:ascii="Times New Roman" w:hAnsi="Times New Roman" w:cs="Times New Roman"/>
          <w:bCs/>
          <w:iCs/>
          <w:sz w:val="24"/>
          <w:szCs w:val="20"/>
        </w:rPr>
        <w:t xml:space="preserve"> gouvernement </w:t>
      </w:r>
      <w:r w:rsidR="00D26C36" w:rsidRPr="006973B5">
        <w:rPr>
          <w:rFonts w:ascii="Times New Roman" w:hAnsi="Times New Roman" w:cs="Times New Roman"/>
          <w:bCs/>
          <w:i/>
          <w:iCs/>
          <w:sz w:val="24"/>
          <w:szCs w:val="20"/>
        </w:rPr>
        <w:t>« doit axer les efforts sur l’agriculture intensive à travers des aménagements hydro-agricoles avec maîtrise totale de l’eau et l’utilisation des semences certifiées. Organiser les producteurs en coopératives, association</w:t>
      </w:r>
      <w:r w:rsidR="00B6196F" w:rsidRPr="006973B5">
        <w:rPr>
          <w:rFonts w:ascii="Times New Roman" w:hAnsi="Times New Roman" w:cs="Times New Roman"/>
          <w:bCs/>
          <w:i/>
          <w:iCs/>
          <w:sz w:val="24"/>
          <w:szCs w:val="20"/>
        </w:rPr>
        <w:t xml:space="preserve">. Renforcer les capacités des jeunes dans la production agricole et en matière de </w:t>
      </w:r>
      <w:r w:rsidR="00C0038B" w:rsidRPr="006973B5">
        <w:rPr>
          <w:rFonts w:ascii="Times New Roman" w:hAnsi="Times New Roman" w:cs="Times New Roman"/>
          <w:bCs/>
          <w:i/>
          <w:iCs/>
          <w:sz w:val="24"/>
          <w:szCs w:val="20"/>
        </w:rPr>
        <w:t>citoyenneté</w:t>
      </w:r>
      <w:r w:rsidR="00211392" w:rsidRPr="006973B5">
        <w:rPr>
          <w:rFonts w:ascii="Times New Roman" w:hAnsi="Times New Roman" w:cs="Times New Roman"/>
          <w:bCs/>
          <w:i/>
          <w:iCs/>
          <w:sz w:val="24"/>
          <w:szCs w:val="20"/>
        </w:rPr>
        <w:t>, limiter l’orpaillage traditionnel</w:t>
      </w:r>
      <w:r w:rsidR="00211392" w:rsidRPr="006973B5">
        <w:rPr>
          <w:rFonts w:ascii="Times New Roman" w:hAnsi="Times New Roman" w:cs="Times New Roman"/>
          <w:bCs/>
          <w:iCs/>
          <w:sz w:val="24"/>
          <w:szCs w:val="20"/>
        </w:rPr>
        <w:t> ».</w:t>
      </w:r>
      <w:r w:rsidR="00097359" w:rsidRPr="006973B5">
        <w:rPr>
          <w:rFonts w:ascii="Times New Roman" w:hAnsi="Times New Roman" w:cs="Times New Roman"/>
          <w:bCs/>
          <w:iCs/>
          <w:sz w:val="24"/>
          <w:szCs w:val="20"/>
        </w:rPr>
        <w:t xml:space="preserve"> (Directeur régional d’une structure publique)</w:t>
      </w:r>
      <w:r w:rsidR="003A095C" w:rsidRPr="006973B5">
        <w:rPr>
          <w:rFonts w:ascii="Times New Roman" w:hAnsi="Times New Roman" w:cs="Times New Roman"/>
          <w:bCs/>
          <w:iCs/>
          <w:sz w:val="24"/>
          <w:szCs w:val="20"/>
        </w:rPr>
        <w:t>.</w:t>
      </w:r>
    </w:p>
    <w:p w:rsidR="003A095C" w:rsidRPr="006973B5" w:rsidRDefault="003A095C" w:rsidP="00737362">
      <w:pPr>
        <w:autoSpaceDE w:val="0"/>
        <w:autoSpaceDN w:val="0"/>
        <w:adjustRightInd w:val="0"/>
        <w:spacing w:after="0" w:line="276" w:lineRule="auto"/>
        <w:jc w:val="both"/>
        <w:rPr>
          <w:rFonts w:ascii="Times New Roman" w:hAnsi="Times New Roman" w:cs="Times New Roman"/>
          <w:bCs/>
          <w:iCs/>
          <w:sz w:val="24"/>
          <w:szCs w:val="20"/>
        </w:rPr>
      </w:pPr>
    </w:p>
    <w:p w:rsidR="003A095C" w:rsidRPr="006973B5" w:rsidRDefault="003A095C" w:rsidP="00737362">
      <w:pPr>
        <w:autoSpaceDE w:val="0"/>
        <w:autoSpaceDN w:val="0"/>
        <w:adjustRightInd w:val="0"/>
        <w:spacing w:after="0" w:line="276" w:lineRule="auto"/>
        <w:jc w:val="both"/>
        <w:rPr>
          <w:rFonts w:ascii="Times New Roman" w:hAnsi="Times New Roman" w:cs="Times New Roman"/>
          <w:bCs/>
          <w:i/>
          <w:iCs/>
          <w:sz w:val="24"/>
          <w:szCs w:val="20"/>
        </w:rPr>
      </w:pPr>
      <w:r w:rsidRPr="006973B5">
        <w:rPr>
          <w:rFonts w:ascii="Times New Roman" w:hAnsi="Times New Roman" w:cs="Times New Roman"/>
          <w:bCs/>
          <w:iCs/>
          <w:sz w:val="24"/>
          <w:szCs w:val="20"/>
        </w:rPr>
        <w:t xml:space="preserve">Par ailleurs, </w:t>
      </w:r>
      <w:r w:rsidR="008E3A72" w:rsidRPr="006973B5">
        <w:rPr>
          <w:rFonts w:ascii="Times New Roman" w:hAnsi="Times New Roman" w:cs="Times New Roman"/>
          <w:bCs/>
          <w:iCs/>
          <w:sz w:val="24"/>
          <w:szCs w:val="20"/>
        </w:rPr>
        <w:t xml:space="preserve">certaines </w:t>
      </w:r>
      <w:r w:rsidR="005C2F71" w:rsidRPr="006973B5">
        <w:rPr>
          <w:rFonts w:ascii="Times New Roman" w:hAnsi="Times New Roman" w:cs="Times New Roman"/>
          <w:bCs/>
          <w:iCs/>
          <w:sz w:val="24"/>
          <w:szCs w:val="20"/>
        </w:rPr>
        <w:t>trouvent qu’il faut adapter la formation des jeunes aux besoins du marché</w:t>
      </w:r>
      <w:r w:rsidR="009830C7" w:rsidRPr="006973B5">
        <w:rPr>
          <w:rFonts w:ascii="Times New Roman" w:hAnsi="Times New Roman" w:cs="Times New Roman"/>
          <w:bCs/>
          <w:iCs/>
          <w:sz w:val="24"/>
          <w:szCs w:val="20"/>
        </w:rPr>
        <w:t>. C’est dans ce sens qu’un responsable d’ONG suggère</w:t>
      </w:r>
      <w:r w:rsidR="005C2F71" w:rsidRPr="006973B5">
        <w:rPr>
          <w:rFonts w:ascii="Times New Roman" w:hAnsi="Times New Roman" w:cs="Times New Roman"/>
          <w:bCs/>
          <w:iCs/>
          <w:sz w:val="24"/>
          <w:szCs w:val="20"/>
        </w:rPr>
        <w:t xml:space="preserve"> </w:t>
      </w:r>
      <w:r w:rsidR="009830C7" w:rsidRPr="006973B5">
        <w:rPr>
          <w:rFonts w:ascii="Times New Roman" w:hAnsi="Times New Roman" w:cs="Times New Roman"/>
          <w:bCs/>
          <w:iCs/>
          <w:sz w:val="24"/>
          <w:szCs w:val="20"/>
        </w:rPr>
        <w:t xml:space="preserve">de </w:t>
      </w:r>
      <w:r w:rsidR="005C2F71" w:rsidRPr="006973B5">
        <w:rPr>
          <w:rFonts w:ascii="Times New Roman" w:hAnsi="Times New Roman" w:cs="Times New Roman"/>
          <w:bCs/>
          <w:i/>
          <w:iCs/>
          <w:sz w:val="24"/>
          <w:szCs w:val="20"/>
        </w:rPr>
        <w:t>« </w:t>
      </w:r>
      <w:r w:rsidR="009830C7" w:rsidRPr="006973B5">
        <w:rPr>
          <w:rFonts w:ascii="Times New Roman" w:hAnsi="Times New Roman" w:cs="Times New Roman"/>
          <w:bCs/>
          <w:i/>
          <w:iCs/>
          <w:sz w:val="24"/>
          <w:szCs w:val="20"/>
        </w:rPr>
        <w:t xml:space="preserve">renforcer la capacité professionnelle des </w:t>
      </w:r>
      <w:r w:rsidR="00B616BC" w:rsidRPr="006973B5">
        <w:rPr>
          <w:rFonts w:ascii="Times New Roman" w:hAnsi="Times New Roman" w:cs="Times New Roman"/>
          <w:bCs/>
          <w:i/>
          <w:iCs/>
          <w:sz w:val="24"/>
          <w:szCs w:val="20"/>
        </w:rPr>
        <w:t>jeunes et les équipés réellement après formation »</w:t>
      </w:r>
      <w:r w:rsidR="00D7001E" w:rsidRPr="006973B5">
        <w:rPr>
          <w:rFonts w:ascii="Times New Roman" w:hAnsi="Times New Roman" w:cs="Times New Roman"/>
          <w:bCs/>
          <w:i/>
          <w:iCs/>
          <w:sz w:val="24"/>
          <w:szCs w:val="20"/>
        </w:rPr>
        <w:t>.</w:t>
      </w:r>
    </w:p>
    <w:p w:rsidR="00D7001E" w:rsidRPr="006973B5" w:rsidRDefault="00D7001E" w:rsidP="00737362">
      <w:pPr>
        <w:autoSpaceDE w:val="0"/>
        <w:autoSpaceDN w:val="0"/>
        <w:adjustRightInd w:val="0"/>
        <w:spacing w:after="0" w:line="276" w:lineRule="auto"/>
        <w:jc w:val="both"/>
        <w:rPr>
          <w:rFonts w:ascii="Times New Roman" w:hAnsi="Times New Roman" w:cs="Times New Roman"/>
          <w:bCs/>
          <w:iCs/>
          <w:sz w:val="24"/>
          <w:szCs w:val="20"/>
        </w:rPr>
      </w:pPr>
    </w:p>
    <w:p w:rsidR="00D7001E" w:rsidRPr="006973B5" w:rsidRDefault="00D7001E" w:rsidP="00737362">
      <w:pPr>
        <w:autoSpaceDE w:val="0"/>
        <w:autoSpaceDN w:val="0"/>
        <w:adjustRightInd w:val="0"/>
        <w:spacing w:after="0" w:line="276" w:lineRule="auto"/>
        <w:jc w:val="both"/>
        <w:rPr>
          <w:rFonts w:ascii="Times New Roman" w:hAnsi="Times New Roman" w:cs="Times New Roman"/>
          <w:bCs/>
          <w:iCs/>
          <w:sz w:val="24"/>
          <w:szCs w:val="20"/>
        </w:rPr>
      </w:pPr>
    </w:p>
    <w:p w:rsidR="00D7001E" w:rsidRPr="006973B5" w:rsidRDefault="00D7001E" w:rsidP="00737362">
      <w:pPr>
        <w:autoSpaceDE w:val="0"/>
        <w:autoSpaceDN w:val="0"/>
        <w:adjustRightInd w:val="0"/>
        <w:spacing w:after="0" w:line="276" w:lineRule="auto"/>
        <w:jc w:val="both"/>
        <w:rPr>
          <w:rFonts w:ascii="Times New Roman" w:hAnsi="Times New Roman" w:cs="Times New Roman"/>
          <w:bCs/>
          <w:iCs/>
          <w:sz w:val="24"/>
          <w:szCs w:val="20"/>
        </w:rPr>
      </w:pPr>
    </w:p>
    <w:p w:rsidR="00E05DBD" w:rsidRPr="006973B5" w:rsidRDefault="00E05DBD" w:rsidP="00737362">
      <w:pPr>
        <w:autoSpaceDE w:val="0"/>
        <w:autoSpaceDN w:val="0"/>
        <w:adjustRightInd w:val="0"/>
        <w:spacing w:after="0" w:line="276" w:lineRule="auto"/>
        <w:jc w:val="both"/>
        <w:rPr>
          <w:rFonts w:ascii="Times New Roman" w:hAnsi="Times New Roman" w:cs="Times New Roman"/>
          <w:bCs/>
          <w:iCs/>
          <w:sz w:val="24"/>
          <w:szCs w:val="20"/>
        </w:rPr>
      </w:pPr>
    </w:p>
    <w:p w:rsidR="000674D1" w:rsidRPr="006973B5" w:rsidRDefault="000674D1" w:rsidP="00937EDF">
      <w:pPr>
        <w:pStyle w:val="Titre1"/>
        <w:rPr>
          <w:rFonts w:ascii="Times New Roman" w:eastAsia="Times New Roman" w:hAnsi="Times New Roman" w:cs="Times New Roman"/>
          <w:b/>
          <w:color w:val="auto"/>
          <w:lang w:eastAsia="fr-FR"/>
        </w:rPr>
      </w:pPr>
      <w:bookmarkStart w:id="67" w:name="_Toc516676431"/>
      <w:r w:rsidRPr="006973B5">
        <w:rPr>
          <w:rFonts w:ascii="Times New Roman" w:eastAsia="Times New Roman" w:hAnsi="Times New Roman" w:cs="Times New Roman"/>
          <w:b/>
          <w:color w:val="auto"/>
          <w:lang w:eastAsia="fr-FR"/>
        </w:rPr>
        <w:lastRenderedPageBreak/>
        <w:t>Conclusion</w:t>
      </w:r>
      <w:bookmarkEnd w:id="67"/>
    </w:p>
    <w:p w:rsidR="000674D1" w:rsidRPr="006973B5" w:rsidRDefault="000674D1" w:rsidP="000674D1">
      <w:pPr>
        <w:autoSpaceDE w:val="0"/>
        <w:autoSpaceDN w:val="0"/>
        <w:adjustRightInd w:val="0"/>
        <w:spacing w:after="0" w:line="276" w:lineRule="auto"/>
        <w:jc w:val="both"/>
        <w:rPr>
          <w:rFonts w:ascii="Times New Roman" w:hAnsi="Times New Roman" w:cs="Times New Roman"/>
          <w:bCs/>
          <w:iCs/>
          <w:sz w:val="24"/>
          <w:szCs w:val="20"/>
        </w:rPr>
      </w:pPr>
    </w:p>
    <w:p w:rsidR="000674D1" w:rsidRPr="006973B5" w:rsidRDefault="000674D1" w:rsidP="000674D1">
      <w:pPr>
        <w:autoSpaceDE w:val="0"/>
        <w:autoSpaceDN w:val="0"/>
        <w:adjustRightInd w:val="0"/>
        <w:spacing w:after="0"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L’analyse de l’évolution globale des principaux indicateurs au cours des cinq dernières nous a permis de constater une baisse du taux d’emploi et celui de sous-emploi des jeunes au cours des cinq dernières années. Pendant la même période nous le taux de chômage et le taux d’inactivité ont connu une augmentation. Le taux de chômage a passé de 9,5% à 21,5% de 2013 à 2017. Il est plus accentué chez les femmes que chez les hommes (24% contre 19,8% en 2017).</w:t>
      </w:r>
    </w:p>
    <w:p w:rsidR="000674D1" w:rsidRPr="006973B5" w:rsidRDefault="000674D1" w:rsidP="000674D1">
      <w:pPr>
        <w:autoSpaceDE w:val="0"/>
        <w:autoSpaceDN w:val="0"/>
        <w:adjustRightInd w:val="0"/>
        <w:spacing w:after="0" w:line="276" w:lineRule="auto"/>
        <w:jc w:val="both"/>
        <w:rPr>
          <w:rFonts w:ascii="Times New Roman" w:hAnsi="Times New Roman" w:cs="Times New Roman"/>
          <w:bCs/>
          <w:iCs/>
          <w:sz w:val="24"/>
          <w:szCs w:val="20"/>
        </w:rPr>
      </w:pPr>
    </w:p>
    <w:p w:rsidR="000674D1" w:rsidRPr="006973B5" w:rsidRDefault="000674D1" w:rsidP="000674D1">
      <w:pPr>
        <w:autoSpaceDE w:val="0"/>
        <w:autoSpaceDN w:val="0"/>
        <w:adjustRightInd w:val="0"/>
        <w:spacing w:after="0"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Le chômage touche plus les jeunes résidant dans les régions de Koulikoro, Gao, Mopti et le District de Bamako. En 2017 à Gao, deux jeunes sur trois étaient en situation de chômage. La région de Sikasso est la région qui enregistré le plus faible taux de chômage des jeunes (6,4%). En outre nous notons par rapport au niveau d’éducation que les jeunes qui ont le niveau d’éducation supérieur sont 4 fois plus touché par le chômage que ceux </w:t>
      </w:r>
      <w:r w:rsidR="00AD4D0A" w:rsidRPr="006973B5">
        <w:rPr>
          <w:rFonts w:ascii="Times New Roman" w:hAnsi="Times New Roman" w:cs="Times New Roman"/>
          <w:bCs/>
          <w:iCs/>
          <w:sz w:val="24"/>
          <w:szCs w:val="20"/>
        </w:rPr>
        <w:t>qui n’ont</w:t>
      </w:r>
      <w:r w:rsidRPr="006973B5">
        <w:rPr>
          <w:rFonts w:ascii="Times New Roman" w:hAnsi="Times New Roman" w:cs="Times New Roman"/>
          <w:bCs/>
          <w:iCs/>
          <w:sz w:val="24"/>
          <w:szCs w:val="20"/>
        </w:rPr>
        <w:t xml:space="preserve"> aucun niveau (78,7% contre 19,4% en 2017)</w:t>
      </w:r>
    </w:p>
    <w:p w:rsidR="000674D1" w:rsidRPr="006973B5" w:rsidRDefault="000674D1" w:rsidP="000674D1">
      <w:pPr>
        <w:autoSpaceDE w:val="0"/>
        <w:autoSpaceDN w:val="0"/>
        <w:adjustRightInd w:val="0"/>
        <w:spacing w:after="0" w:line="276" w:lineRule="auto"/>
        <w:jc w:val="both"/>
        <w:rPr>
          <w:rFonts w:ascii="Times New Roman" w:hAnsi="Times New Roman" w:cs="Times New Roman"/>
          <w:bCs/>
          <w:iCs/>
          <w:sz w:val="24"/>
          <w:szCs w:val="20"/>
        </w:rPr>
      </w:pPr>
    </w:p>
    <w:p w:rsidR="000674D1" w:rsidRPr="006973B5" w:rsidRDefault="000674D1" w:rsidP="000674D1">
      <w:pPr>
        <w:autoSpaceDE w:val="0"/>
        <w:autoSpaceDN w:val="0"/>
        <w:adjustRightInd w:val="0"/>
        <w:spacing w:after="0"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En outre, l’étude montre que la majorité des jeunes en emploi (70,3%) est dans le secteur primaire (agriculture, élevage, pêche, pisciculture), suivi du secteur tertiaire (22%). Le secteur industriel n’emploie que 7,6% des jeunes au Mali.  Le District de Bamako et la région de Tombouctou font l’exception dans la mesure où plus de 80% des jeunes résidant dans ces localités sont employés dans le secteur tertiaire. L’emploi dans le secteur Agricole est dominé par les jeunes qui ont un niveau d’éducation faible. Par contre ceux qui ont le niveau d’éducation secondaire et supérieur sont surtout employés dans les secteurs secondaire et tertiaire où nous avons une forte concentration d’entreprises formelles. </w:t>
      </w:r>
    </w:p>
    <w:p w:rsidR="000674D1" w:rsidRPr="006973B5" w:rsidRDefault="000674D1" w:rsidP="000674D1">
      <w:pPr>
        <w:autoSpaceDE w:val="0"/>
        <w:autoSpaceDN w:val="0"/>
        <w:adjustRightInd w:val="0"/>
        <w:spacing w:after="0"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 </w:t>
      </w:r>
    </w:p>
    <w:p w:rsidR="000674D1" w:rsidRPr="006973B5" w:rsidRDefault="000674D1" w:rsidP="000674D1">
      <w:pPr>
        <w:autoSpaceDE w:val="0"/>
        <w:autoSpaceDN w:val="0"/>
        <w:adjustRightInd w:val="0"/>
        <w:spacing w:after="0"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Les données de l’EMOP ont aussi permis de montrer que seulement 0,4% des jeunes sont employés par le secteur public ou les entreprises privées formelles.</w:t>
      </w:r>
    </w:p>
    <w:p w:rsidR="000674D1" w:rsidRPr="006973B5" w:rsidRDefault="000674D1" w:rsidP="000674D1">
      <w:pPr>
        <w:autoSpaceDE w:val="0"/>
        <w:autoSpaceDN w:val="0"/>
        <w:adjustRightInd w:val="0"/>
        <w:spacing w:after="0" w:line="276" w:lineRule="auto"/>
        <w:jc w:val="both"/>
        <w:rPr>
          <w:rFonts w:ascii="Times New Roman" w:hAnsi="Times New Roman" w:cs="Times New Roman"/>
          <w:bCs/>
          <w:iCs/>
          <w:sz w:val="24"/>
          <w:szCs w:val="20"/>
        </w:rPr>
      </w:pPr>
    </w:p>
    <w:p w:rsidR="000674D1" w:rsidRPr="006973B5" w:rsidRDefault="000674D1" w:rsidP="000674D1">
      <w:pPr>
        <w:jc w:val="both"/>
        <w:rPr>
          <w:rFonts w:ascii="Times New Roman" w:hAnsi="Times New Roman" w:cs="Times New Roman"/>
          <w:bCs/>
          <w:iCs/>
          <w:sz w:val="24"/>
          <w:szCs w:val="20"/>
        </w:rPr>
      </w:pPr>
      <w:r w:rsidRPr="006973B5">
        <w:rPr>
          <w:rFonts w:ascii="Times New Roman" w:hAnsi="Times New Roman" w:cs="Times New Roman"/>
          <w:sz w:val="24"/>
          <w:szCs w:val="20"/>
        </w:rPr>
        <w:t>L’indicateur NEET est un outil puissant pour analyser l’exclusion des jeunes en mettant l’accent sur tous les jeunes qui éprouvent des difficultés à faire la transition de l’école à la vie professionnelle. En 2017, 28,5% des jeunes âgés de 15 à 24 ans n’étaient ni en emploi, ni en éducation, ni en formation.  Parmi ces jeunes, 55,9% avaient le niveau d’éducation supérieur et 20,1% le niveau fondamental. Les femmes sont plus touchées que les hommes (38,2 % contre 17,2%). Au niveau régional, les régions de Koulikoro et de Gao sont les plus touchées, avec respectivement 56,3% et 56,0% des jeunes ni en emploi, ni en éducation, ni en formation.</w:t>
      </w:r>
      <w:r w:rsidRPr="006973B5">
        <w:rPr>
          <w:rFonts w:ascii="Times New Roman" w:hAnsi="Times New Roman" w:cs="Times New Roman"/>
          <w:bCs/>
          <w:iCs/>
          <w:sz w:val="24"/>
          <w:szCs w:val="20"/>
        </w:rPr>
        <w:t xml:space="preserve"> </w:t>
      </w:r>
    </w:p>
    <w:p w:rsidR="000674D1" w:rsidRPr="006973B5" w:rsidRDefault="000674D1" w:rsidP="000674D1">
      <w:pPr>
        <w:jc w:val="both"/>
        <w:rPr>
          <w:rFonts w:ascii="Times New Roman" w:hAnsi="Times New Roman" w:cs="Times New Roman"/>
          <w:bCs/>
          <w:iCs/>
          <w:sz w:val="24"/>
          <w:szCs w:val="20"/>
        </w:rPr>
      </w:pPr>
      <w:r w:rsidRPr="006973B5">
        <w:rPr>
          <w:rFonts w:ascii="Times New Roman" w:hAnsi="Times New Roman" w:cs="Times New Roman"/>
          <w:bCs/>
          <w:iCs/>
          <w:sz w:val="24"/>
          <w:szCs w:val="20"/>
        </w:rPr>
        <w:t>En matière de recherche d’emploi, les jeunes préfèrent passer par des relations personnes (92,5% des jeunes passent par ce canal). Les structures chargées de l’intermédiation, aussi bien publique que privées sont très peu fréquentées par les jeunes à la recherche d’emploi. La méconnaissance de ces structures est la principale raison évoquée (88,5% des chômeurs selon l’EMOP 2017).</w:t>
      </w:r>
    </w:p>
    <w:p w:rsidR="000674D1" w:rsidRPr="006973B5" w:rsidRDefault="000674D1" w:rsidP="000674D1">
      <w:pPr>
        <w:jc w:val="both"/>
        <w:rPr>
          <w:rFonts w:ascii="Times New Roman" w:hAnsi="Times New Roman" w:cs="Times New Roman"/>
          <w:bCs/>
          <w:iCs/>
          <w:sz w:val="24"/>
          <w:szCs w:val="20"/>
        </w:rPr>
      </w:pPr>
      <w:r w:rsidRPr="006973B5">
        <w:rPr>
          <w:rFonts w:ascii="Times New Roman" w:hAnsi="Times New Roman" w:cs="Times New Roman"/>
          <w:bCs/>
          <w:iCs/>
          <w:sz w:val="24"/>
          <w:szCs w:val="20"/>
        </w:rPr>
        <w:t>Aussi, un des constats majeurs de cette étude est que le chômage touche plus les jeunes que les adultes.</w:t>
      </w:r>
      <w:r w:rsidRPr="006973B5">
        <w:rPr>
          <w:rFonts w:ascii="Times New Roman" w:hAnsi="Times New Roman" w:cs="Times New Roman"/>
          <w:sz w:val="24"/>
        </w:rPr>
        <w:t xml:space="preserve"> En effet, en 2017, le taux de chômage des jeunes dépasse plus de 4 fois celui des adultes (21,9% contre 4,5%). L’écart demeure important quelque la région, le milieu de résidence et le niveau d’étude. Au niveau de la région de Mopti, le chômage des jeunes est 17 fois plus important que celui des adultes. Cette situation est très préoccupante dans cette localité où l’insécurité devient de plus en plus grandissante.  Ces jeunes pourront être enrôlés par les mouvements terroristes. </w:t>
      </w:r>
      <w:r w:rsidRPr="006973B5">
        <w:rPr>
          <w:rFonts w:ascii="Times New Roman" w:hAnsi="Times New Roman" w:cs="Times New Roman"/>
          <w:bCs/>
          <w:iCs/>
          <w:sz w:val="24"/>
          <w:szCs w:val="20"/>
        </w:rPr>
        <w:t xml:space="preserve"> </w:t>
      </w:r>
    </w:p>
    <w:p w:rsidR="000674D1" w:rsidRPr="006973B5" w:rsidRDefault="000674D1" w:rsidP="000674D1">
      <w:pPr>
        <w:spacing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lastRenderedPageBreak/>
        <w:t>L’analyse du marché local fait ressortir que le secteur Agro-sylvo-pastoral demeure le principal secteur pourvoyeur d’emplois des jeunes à l’exception de la région de Tombouctou et le District de Bamako. Les différentes études diagnostiques réalisées dans les différentes régions ont confirmé résultat. Egalement l’enquête qualitative réalisée auprès des acteurs du marché du travail dans les différentes régions retenues dans cette étude aboutie à la même conclusion.</w:t>
      </w:r>
    </w:p>
    <w:p w:rsidR="000674D1" w:rsidRPr="006973B5" w:rsidRDefault="000674D1" w:rsidP="000674D1">
      <w:pPr>
        <w:spacing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Si l’agriculture reste le principal pourvoyeur d’emplois, le secteur souffre du manque de petites et moyennes entreprises capables de transformer des produits des différentes filières agricoles. </w:t>
      </w:r>
    </w:p>
    <w:p w:rsidR="000674D1" w:rsidRPr="006973B5" w:rsidRDefault="000674D1" w:rsidP="000674D1">
      <w:pPr>
        <w:spacing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Face à tous ces constats, nous formulons les recommandations suivantes qui pourront servir de base de réflexion dans le cadre de la mise en œuvre de stratégie devant promouvoir l’emploi des jeunes au Mali. </w:t>
      </w:r>
    </w:p>
    <w:p w:rsidR="000674D1" w:rsidRPr="006973B5" w:rsidRDefault="000674D1" w:rsidP="000674D1">
      <w:pPr>
        <w:spacing w:line="276" w:lineRule="auto"/>
        <w:jc w:val="both"/>
        <w:rPr>
          <w:rFonts w:ascii="Times New Roman" w:hAnsi="Times New Roman" w:cs="Times New Roman"/>
          <w:bCs/>
          <w:iCs/>
          <w:sz w:val="24"/>
          <w:szCs w:val="20"/>
        </w:rPr>
      </w:pPr>
    </w:p>
    <w:p w:rsidR="000674D1" w:rsidRPr="006973B5" w:rsidRDefault="000674D1" w:rsidP="000674D1">
      <w:pPr>
        <w:pStyle w:val="Paragraphedeliste"/>
        <w:numPr>
          <w:ilvl w:val="0"/>
          <w:numId w:val="12"/>
        </w:numPr>
        <w:spacing w:line="276" w:lineRule="auto"/>
        <w:jc w:val="both"/>
        <w:rPr>
          <w:rFonts w:ascii="Times New Roman" w:hAnsi="Times New Roman" w:cs="Times New Roman"/>
          <w:b/>
          <w:bCs/>
          <w:i/>
          <w:iCs/>
          <w:sz w:val="24"/>
          <w:szCs w:val="20"/>
        </w:rPr>
      </w:pPr>
      <w:r w:rsidRPr="006973B5">
        <w:rPr>
          <w:rFonts w:ascii="Times New Roman" w:hAnsi="Times New Roman" w:cs="Times New Roman"/>
          <w:b/>
          <w:bCs/>
          <w:i/>
          <w:iCs/>
          <w:sz w:val="24"/>
          <w:szCs w:val="20"/>
        </w:rPr>
        <w:t>Renforcer ou orienter les stratégies en matière de promotion d’emploi des jeunes dans les localités où le chômage des jeunes devient de plus en plus préoccupant.</w:t>
      </w:r>
    </w:p>
    <w:p w:rsidR="000674D1" w:rsidRPr="006973B5" w:rsidRDefault="000674D1" w:rsidP="000674D1">
      <w:pPr>
        <w:spacing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Ces dernières années</w:t>
      </w:r>
      <w:r w:rsidR="00AD4D0A">
        <w:rPr>
          <w:rFonts w:ascii="Times New Roman" w:hAnsi="Times New Roman" w:cs="Times New Roman"/>
          <w:bCs/>
          <w:iCs/>
          <w:sz w:val="24"/>
          <w:szCs w:val="20"/>
        </w:rPr>
        <w:t>,</w:t>
      </w:r>
      <w:r w:rsidRPr="006973B5">
        <w:rPr>
          <w:rFonts w:ascii="Times New Roman" w:hAnsi="Times New Roman" w:cs="Times New Roman"/>
          <w:bCs/>
          <w:iCs/>
          <w:sz w:val="24"/>
          <w:szCs w:val="20"/>
        </w:rPr>
        <w:t xml:space="preserve"> plusieurs initiatives ont été prise</w:t>
      </w:r>
      <w:r w:rsidR="00AD4D0A">
        <w:rPr>
          <w:rFonts w:ascii="Times New Roman" w:hAnsi="Times New Roman" w:cs="Times New Roman"/>
          <w:bCs/>
          <w:iCs/>
          <w:sz w:val="24"/>
          <w:szCs w:val="20"/>
        </w:rPr>
        <w:t>s</w:t>
      </w:r>
      <w:r w:rsidRPr="006973B5">
        <w:rPr>
          <w:rFonts w:ascii="Times New Roman" w:hAnsi="Times New Roman" w:cs="Times New Roman"/>
          <w:bCs/>
          <w:iCs/>
          <w:sz w:val="24"/>
          <w:szCs w:val="20"/>
        </w:rPr>
        <w:t xml:space="preserve"> dans le cadre de l’insertion des jeunes. Une bonne partie de ces initiatives étaient destinées aux jeunes résidant en milieu rural. Il serait important dans les années à venir de mettre en œuvre de stratégies de promotion d’emploi des jeunes du District de Bamako, des régions de Koulikoro, Koulikoro, Mopti, Gao. </w:t>
      </w:r>
    </w:p>
    <w:p w:rsidR="000674D1" w:rsidRPr="006973B5" w:rsidRDefault="000674D1" w:rsidP="000674D1">
      <w:pPr>
        <w:jc w:val="both"/>
        <w:rPr>
          <w:rFonts w:ascii="Times New Roman" w:hAnsi="Times New Roman" w:cs="Times New Roman"/>
          <w:bCs/>
          <w:iCs/>
          <w:sz w:val="24"/>
          <w:szCs w:val="20"/>
        </w:rPr>
      </w:pPr>
    </w:p>
    <w:p w:rsidR="000674D1" w:rsidRPr="006973B5" w:rsidRDefault="000674D1" w:rsidP="000674D1">
      <w:pPr>
        <w:pStyle w:val="Paragraphedeliste"/>
        <w:numPr>
          <w:ilvl w:val="0"/>
          <w:numId w:val="12"/>
        </w:numPr>
        <w:spacing w:line="276" w:lineRule="auto"/>
        <w:jc w:val="both"/>
        <w:rPr>
          <w:rFonts w:ascii="Times New Roman" w:hAnsi="Times New Roman" w:cs="Times New Roman"/>
          <w:b/>
          <w:bCs/>
          <w:i/>
          <w:iCs/>
          <w:sz w:val="24"/>
          <w:szCs w:val="20"/>
        </w:rPr>
      </w:pPr>
      <w:r w:rsidRPr="006973B5">
        <w:rPr>
          <w:rFonts w:ascii="Times New Roman" w:hAnsi="Times New Roman" w:cs="Times New Roman"/>
          <w:b/>
          <w:bCs/>
          <w:i/>
          <w:iCs/>
          <w:sz w:val="24"/>
          <w:szCs w:val="20"/>
        </w:rPr>
        <w:t>Développer des stratégies de création d’emploi à l’endroit des femmes et des diplômés</w:t>
      </w:r>
    </w:p>
    <w:p w:rsidR="000674D1" w:rsidRPr="006973B5" w:rsidRDefault="000674D1" w:rsidP="000674D1">
      <w:pPr>
        <w:spacing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D’une manière générale, le</w:t>
      </w:r>
      <w:r w:rsidR="00AD4D0A">
        <w:rPr>
          <w:rFonts w:ascii="Times New Roman" w:hAnsi="Times New Roman" w:cs="Times New Roman"/>
          <w:bCs/>
          <w:iCs/>
          <w:sz w:val="24"/>
          <w:szCs w:val="20"/>
        </w:rPr>
        <w:t>s</w:t>
      </w:r>
      <w:r w:rsidRPr="006973B5">
        <w:rPr>
          <w:rFonts w:ascii="Times New Roman" w:hAnsi="Times New Roman" w:cs="Times New Roman"/>
          <w:bCs/>
          <w:iCs/>
          <w:sz w:val="24"/>
          <w:szCs w:val="20"/>
        </w:rPr>
        <w:t xml:space="preserve"> jeune</w:t>
      </w:r>
      <w:r w:rsidR="00AD4D0A">
        <w:rPr>
          <w:rFonts w:ascii="Times New Roman" w:hAnsi="Times New Roman" w:cs="Times New Roman"/>
          <w:bCs/>
          <w:iCs/>
          <w:sz w:val="24"/>
          <w:szCs w:val="20"/>
        </w:rPr>
        <w:t>s</w:t>
      </w:r>
      <w:r w:rsidRPr="006973B5">
        <w:rPr>
          <w:rFonts w:ascii="Times New Roman" w:hAnsi="Times New Roman" w:cs="Times New Roman"/>
          <w:bCs/>
          <w:iCs/>
          <w:sz w:val="24"/>
          <w:szCs w:val="20"/>
        </w:rPr>
        <w:t xml:space="preserve"> âgé</w:t>
      </w:r>
      <w:r w:rsidR="00AD4D0A">
        <w:rPr>
          <w:rFonts w:ascii="Times New Roman" w:hAnsi="Times New Roman" w:cs="Times New Roman"/>
          <w:bCs/>
          <w:iCs/>
          <w:sz w:val="24"/>
          <w:szCs w:val="20"/>
        </w:rPr>
        <w:t>s</w:t>
      </w:r>
      <w:r w:rsidRPr="006973B5">
        <w:rPr>
          <w:rFonts w:ascii="Times New Roman" w:hAnsi="Times New Roman" w:cs="Times New Roman"/>
          <w:bCs/>
          <w:iCs/>
          <w:sz w:val="24"/>
          <w:szCs w:val="20"/>
        </w:rPr>
        <w:t xml:space="preserve"> de 15 à 24 ans sont plus touchés par le chômage que les adultes. Il faut reconnaitre que parmi ces jeunes, les femmes et les diplômés peinent à s’insérer sur le marché du travail. Une place de choix doit être accordée à ces couches dans les nouvelles stratégies de lutte contre le chômage des jeunes.</w:t>
      </w:r>
    </w:p>
    <w:p w:rsidR="000674D1" w:rsidRPr="006973B5" w:rsidRDefault="000674D1" w:rsidP="000674D1">
      <w:pPr>
        <w:spacing w:line="276" w:lineRule="auto"/>
        <w:jc w:val="both"/>
        <w:rPr>
          <w:rFonts w:ascii="Times New Roman" w:hAnsi="Times New Roman" w:cs="Times New Roman"/>
          <w:bCs/>
          <w:iCs/>
          <w:sz w:val="24"/>
          <w:szCs w:val="20"/>
        </w:rPr>
      </w:pPr>
    </w:p>
    <w:p w:rsidR="000674D1" w:rsidRPr="006973B5" w:rsidRDefault="000674D1" w:rsidP="000674D1">
      <w:pPr>
        <w:pStyle w:val="Paragraphedeliste"/>
        <w:numPr>
          <w:ilvl w:val="0"/>
          <w:numId w:val="12"/>
        </w:numPr>
        <w:spacing w:line="276" w:lineRule="auto"/>
        <w:jc w:val="both"/>
        <w:rPr>
          <w:rFonts w:ascii="Times New Roman" w:hAnsi="Times New Roman" w:cs="Times New Roman"/>
          <w:b/>
          <w:bCs/>
          <w:i/>
          <w:iCs/>
          <w:sz w:val="24"/>
          <w:szCs w:val="20"/>
        </w:rPr>
      </w:pPr>
      <w:r w:rsidRPr="006973B5">
        <w:rPr>
          <w:rFonts w:ascii="Times New Roman" w:hAnsi="Times New Roman" w:cs="Times New Roman"/>
          <w:b/>
          <w:bCs/>
          <w:i/>
          <w:iCs/>
          <w:sz w:val="24"/>
          <w:szCs w:val="20"/>
        </w:rPr>
        <w:t>Promouvoir la création des créations des petites et moyennes entreprises dans le maillon de la transformation des produits agricoles</w:t>
      </w:r>
    </w:p>
    <w:p w:rsidR="000674D1" w:rsidRDefault="000674D1" w:rsidP="000674D1">
      <w:pPr>
        <w:spacing w:line="276" w:lineRule="auto"/>
        <w:jc w:val="both"/>
        <w:rPr>
          <w:rFonts w:ascii="Times New Roman" w:hAnsi="Times New Roman" w:cs="Times New Roman"/>
          <w:bCs/>
          <w:iCs/>
          <w:sz w:val="24"/>
          <w:szCs w:val="20"/>
        </w:rPr>
      </w:pPr>
      <w:r w:rsidRPr="006973B5">
        <w:rPr>
          <w:rFonts w:ascii="Times New Roman" w:hAnsi="Times New Roman" w:cs="Times New Roman"/>
          <w:bCs/>
          <w:iCs/>
          <w:sz w:val="24"/>
          <w:szCs w:val="20"/>
        </w:rPr>
        <w:t xml:space="preserve">En 2016, la part du secteur primaire dans le PIB a été estimée 40,6%. Ce chiffre atteste l’importance de ce secteur dans l’économie. Cependant pour créer plus de valeur </w:t>
      </w:r>
      <w:r w:rsidR="00AD4D0A" w:rsidRPr="006973B5">
        <w:rPr>
          <w:rFonts w:ascii="Times New Roman" w:hAnsi="Times New Roman" w:cs="Times New Roman"/>
          <w:bCs/>
          <w:iCs/>
          <w:sz w:val="24"/>
          <w:szCs w:val="20"/>
        </w:rPr>
        <w:t>ajoutée</w:t>
      </w:r>
      <w:r w:rsidRPr="006973B5">
        <w:rPr>
          <w:rFonts w:ascii="Times New Roman" w:hAnsi="Times New Roman" w:cs="Times New Roman"/>
          <w:bCs/>
          <w:iCs/>
          <w:sz w:val="24"/>
          <w:szCs w:val="20"/>
        </w:rPr>
        <w:t>, des stratégies doivent être développé pour intensifier la production au niveau certaines filières, mais également promouvoir la création des petites et moyennes entreprises pour les jeunes pour transformer ces produits agricoles.</w:t>
      </w:r>
      <w:r>
        <w:rPr>
          <w:rFonts w:ascii="Times New Roman" w:hAnsi="Times New Roman" w:cs="Times New Roman"/>
          <w:bCs/>
          <w:iCs/>
          <w:sz w:val="24"/>
          <w:szCs w:val="20"/>
        </w:rPr>
        <w:t xml:space="preserve"> </w:t>
      </w:r>
    </w:p>
    <w:p w:rsidR="000674D1" w:rsidRDefault="000674D1" w:rsidP="00737362">
      <w:pPr>
        <w:autoSpaceDE w:val="0"/>
        <w:autoSpaceDN w:val="0"/>
        <w:adjustRightInd w:val="0"/>
        <w:spacing w:after="0" w:line="276" w:lineRule="auto"/>
        <w:jc w:val="both"/>
        <w:rPr>
          <w:rFonts w:ascii="Times New Roman" w:hAnsi="Times New Roman" w:cs="Times New Roman"/>
          <w:bCs/>
          <w:iCs/>
          <w:sz w:val="24"/>
          <w:szCs w:val="20"/>
        </w:rPr>
      </w:pPr>
    </w:p>
    <w:sectPr w:rsidR="000674D1" w:rsidSect="00AC546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56B" w:rsidRDefault="004A556B" w:rsidP="001D38E8">
      <w:pPr>
        <w:spacing w:after="0" w:line="240" w:lineRule="auto"/>
      </w:pPr>
      <w:r>
        <w:separator/>
      </w:r>
    </w:p>
  </w:endnote>
  <w:endnote w:type="continuationSeparator" w:id="0">
    <w:p w:rsidR="004A556B" w:rsidRDefault="004A556B" w:rsidP="001D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984554"/>
      <w:docPartObj>
        <w:docPartGallery w:val="Page Numbers (Bottom of Page)"/>
        <w:docPartUnique/>
      </w:docPartObj>
    </w:sdtPr>
    <w:sdtEndPr/>
    <w:sdtContent>
      <w:p w:rsidR="0007435E" w:rsidRDefault="0007435E">
        <w:pPr>
          <w:pStyle w:val="Pieddepage"/>
          <w:jc w:val="right"/>
        </w:pPr>
        <w:r>
          <w:fldChar w:fldCharType="begin"/>
        </w:r>
        <w:r>
          <w:instrText>PAGE   \* MERGEFORMAT</w:instrText>
        </w:r>
        <w:r>
          <w:fldChar w:fldCharType="separate"/>
        </w:r>
        <w:r w:rsidR="003D6B5F">
          <w:rPr>
            <w:noProof/>
          </w:rPr>
          <w:t>i</w:t>
        </w:r>
        <w:r>
          <w:fldChar w:fldCharType="end"/>
        </w:r>
      </w:p>
    </w:sdtContent>
  </w:sdt>
  <w:p w:rsidR="0007435E" w:rsidRDefault="0007435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56B" w:rsidRDefault="004A556B" w:rsidP="001D38E8">
      <w:pPr>
        <w:spacing w:after="0" w:line="240" w:lineRule="auto"/>
      </w:pPr>
      <w:r>
        <w:separator/>
      </w:r>
    </w:p>
  </w:footnote>
  <w:footnote w:type="continuationSeparator" w:id="0">
    <w:p w:rsidR="004A556B" w:rsidRDefault="004A556B" w:rsidP="001D38E8">
      <w:pPr>
        <w:spacing w:after="0" w:line="240" w:lineRule="auto"/>
      </w:pPr>
      <w:r>
        <w:continuationSeparator/>
      </w:r>
    </w:p>
  </w:footnote>
  <w:footnote w:id="1">
    <w:p w:rsidR="0007435E" w:rsidRPr="00A76A78" w:rsidRDefault="0007435E">
      <w:pPr>
        <w:pStyle w:val="Notedebasdepage"/>
        <w:rPr>
          <w:rFonts w:ascii="Times New Roman" w:hAnsi="Times New Roman" w:cs="Times New Roman"/>
        </w:rPr>
      </w:pPr>
      <w:r w:rsidRPr="00A76A78">
        <w:rPr>
          <w:rStyle w:val="Appelnotedebasdep"/>
          <w:rFonts w:ascii="Times New Roman" w:hAnsi="Times New Roman" w:cs="Times New Roman"/>
        </w:rPr>
        <w:footnoteRef/>
      </w:r>
      <w:r w:rsidRPr="00A76A78">
        <w:rPr>
          <w:rFonts w:ascii="Times New Roman" w:hAnsi="Times New Roman" w:cs="Times New Roman"/>
        </w:rPr>
        <w:t xml:space="preserve"> Source : Enquête Modulaire et Permanente auprès des Ménages (EMOP), Module emploi (3</w:t>
      </w:r>
      <w:r w:rsidRPr="00A76A78">
        <w:rPr>
          <w:rFonts w:ascii="Times New Roman" w:hAnsi="Times New Roman" w:cs="Times New Roman"/>
          <w:vertAlign w:val="superscript"/>
        </w:rPr>
        <w:t>ème</w:t>
      </w:r>
      <w:r w:rsidRPr="00A76A78">
        <w:rPr>
          <w:rFonts w:ascii="Times New Roman" w:hAnsi="Times New Roman" w:cs="Times New Roman"/>
        </w:rPr>
        <w:t xml:space="preserve"> passage) 2013, 2014 2015, 2016, 2017 / INSTAT. La collecte des données de ce module est financée par l’ONEF. </w:t>
      </w:r>
    </w:p>
  </w:footnote>
  <w:footnote w:id="2">
    <w:p w:rsidR="0007435E" w:rsidRDefault="0007435E">
      <w:pPr>
        <w:pStyle w:val="Notedebasdepage"/>
      </w:pPr>
      <w:r>
        <w:rPr>
          <w:rStyle w:val="Appelnotedebasdep"/>
        </w:rPr>
        <w:footnoteRef/>
      </w:r>
      <w:r>
        <w:t xml:space="preserve"> Source : 4</w:t>
      </w:r>
      <w:r w:rsidRPr="003D6399">
        <w:rPr>
          <w:vertAlign w:val="superscript"/>
        </w:rPr>
        <w:t>ème</w:t>
      </w:r>
      <w:r>
        <w:t xml:space="preserve"> Recensement général de la population et de l’habitant (RGPH 2009), Analyse des résultats définitifs, Thème : Urbanisation. INSTAT 2019.</w:t>
      </w:r>
    </w:p>
  </w:footnote>
  <w:footnote w:id="3">
    <w:p w:rsidR="0007435E" w:rsidRDefault="0007435E">
      <w:pPr>
        <w:pStyle w:val="Notedebasdepage"/>
      </w:pPr>
      <w:r>
        <w:rPr>
          <w:rStyle w:val="Appelnotedebasdep"/>
        </w:rPr>
        <w:footnoteRef/>
      </w:r>
      <w:r>
        <w:t xml:space="preserve"> Ces auteurs sont cités dans le Rapport sur le développement en Afrique 2015, Croissance, pauvreté et inégalité : lever les obstacles au développement durable. Groupe Banque Africaine de Développement.  </w:t>
      </w:r>
    </w:p>
  </w:footnote>
  <w:footnote w:id="4">
    <w:p w:rsidR="0007435E" w:rsidRPr="00473F41" w:rsidRDefault="0007435E" w:rsidP="00473F41">
      <w:pPr>
        <w:pStyle w:val="Notedebasdepage"/>
        <w:jc w:val="both"/>
        <w:rPr>
          <w:rFonts w:ascii="Times New Roman" w:hAnsi="Times New Roman" w:cs="Times New Roman"/>
        </w:rPr>
      </w:pPr>
      <w:r w:rsidRPr="00473F41">
        <w:rPr>
          <w:rStyle w:val="Appelnotedebasdep"/>
          <w:rFonts w:ascii="Times New Roman" w:hAnsi="Times New Roman" w:cs="Times New Roman"/>
        </w:rPr>
        <w:footnoteRef/>
      </w:r>
      <w:r w:rsidRPr="00473F41">
        <w:rPr>
          <w:rFonts w:ascii="Times New Roman" w:hAnsi="Times New Roman" w:cs="Times New Roman"/>
        </w:rPr>
        <w:t xml:space="preserve"> Au Mali, les âges scolaires officiels par niveau d’enseignement sont les suivants : 3 à 6 ans pour le préscolaire, 7 à 12 ans pour le primaire, 13-18 ans pour le secondaire et 19-23 ans pour le supérieur.</w:t>
      </w:r>
      <w:r>
        <w:rPr>
          <w:rFonts w:ascii="Times New Roman" w:hAnsi="Times New Roman" w:cs="Times New Roman"/>
        </w:rPr>
        <w:t xml:space="preserve"> L’âge maximum retenu dans cette étude pour les jeunes étant 24 ans, ceci explique leur absence dans les emplois réservés au niveau d’étude supérieur dans le secteur public.</w:t>
      </w:r>
    </w:p>
    <w:p w:rsidR="0007435E" w:rsidRDefault="0007435E">
      <w:pPr>
        <w:pStyle w:val="Notedebasdepag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C7D"/>
    <w:multiLevelType w:val="multilevel"/>
    <w:tmpl w:val="4DBA2CC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D21ACF"/>
    <w:multiLevelType w:val="hybridMultilevel"/>
    <w:tmpl w:val="CC3CCADA"/>
    <w:lvl w:ilvl="0" w:tplc="C11E3168">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6F4DB1"/>
    <w:multiLevelType w:val="multilevel"/>
    <w:tmpl w:val="39FE1F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FC618EB"/>
    <w:multiLevelType w:val="multilevel"/>
    <w:tmpl w:val="4B626C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6C68D5"/>
    <w:multiLevelType w:val="hybridMultilevel"/>
    <w:tmpl w:val="73A2B296"/>
    <w:lvl w:ilvl="0" w:tplc="13EE142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CB3431"/>
    <w:multiLevelType w:val="hybridMultilevel"/>
    <w:tmpl w:val="CDE08F9E"/>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5AAB08CB"/>
    <w:multiLevelType w:val="multilevel"/>
    <w:tmpl w:val="11DC8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ADE3F93"/>
    <w:multiLevelType w:val="multilevel"/>
    <w:tmpl w:val="B3287C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B11740A"/>
    <w:multiLevelType w:val="multilevel"/>
    <w:tmpl w:val="1046BC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9E955E2"/>
    <w:multiLevelType w:val="hybridMultilevel"/>
    <w:tmpl w:val="061E03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A2667C"/>
    <w:multiLevelType w:val="hybridMultilevel"/>
    <w:tmpl w:val="466E6B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C3573FC"/>
    <w:multiLevelType w:val="multilevel"/>
    <w:tmpl w:val="B23641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412586"/>
    <w:multiLevelType w:val="hybridMultilevel"/>
    <w:tmpl w:val="F27AF948"/>
    <w:lvl w:ilvl="0" w:tplc="9B3CB218">
      <w:start w:val="3"/>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E84AC9"/>
    <w:multiLevelType w:val="multilevel"/>
    <w:tmpl w:val="A9E8CC2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3"/>
  </w:num>
  <w:num w:numId="3">
    <w:abstractNumId w:val="8"/>
  </w:num>
  <w:num w:numId="4">
    <w:abstractNumId w:val="11"/>
  </w:num>
  <w:num w:numId="5">
    <w:abstractNumId w:val="4"/>
  </w:num>
  <w:num w:numId="6">
    <w:abstractNumId w:val="9"/>
  </w:num>
  <w:num w:numId="7">
    <w:abstractNumId w:val="0"/>
  </w:num>
  <w:num w:numId="8">
    <w:abstractNumId w:val="7"/>
  </w:num>
  <w:num w:numId="9">
    <w:abstractNumId w:val="5"/>
  </w:num>
  <w:num w:numId="10">
    <w:abstractNumId w:val="12"/>
  </w:num>
  <w:num w:numId="11">
    <w:abstractNumId w:val="2"/>
  </w:num>
  <w:num w:numId="12">
    <w:abstractNumId w:val="1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9C3"/>
    <w:rsid w:val="00004198"/>
    <w:rsid w:val="00010171"/>
    <w:rsid w:val="0001067E"/>
    <w:rsid w:val="00011057"/>
    <w:rsid w:val="00016BC6"/>
    <w:rsid w:val="000237E0"/>
    <w:rsid w:val="00024500"/>
    <w:rsid w:val="00031865"/>
    <w:rsid w:val="00037D7B"/>
    <w:rsid w:val="000411C3"/>
    <w:rsid w:val="00044D54"/>
    <w:rsid w:val="00053F46"/>
    <w:rsid w:val="0005524D"/>
    <w:rsid w:val="00055443"/>
    <w:rsid w:val="00061526"/>
    <w:rsid w:val="000645AC"/>
    <w:rsid w:val="000674D1"/>
    <w:rsid w:val="00070015"/>
    <w:rsid w:val="0007435E"/>
    <w:rsid w:val="00074A3F"/>
    <w:rsid w:val="00077260"/>
    <w:rsid w:val="00082559"/>
    <w:rsid w:val="00082A08"/>
    <w:rsid w:val="00087015"/>
    <w:rsid w:val="00092596"/>
    <w:rsid w:val="00094577"/>
    <w:rsid w:val="0009619D"/>
    <w:rsid w:val="00097359"/>
    <w:rsid w:val="0009735E"/>
    <w:rsid w:val="00097A74"/>
    <w:rsid w:val="000A265B"/>
    <w:rsid w:val="000B0D1D"/>
    <w:rsid w:val="000B461A"/>
    <w:rsid w:val="000B4A1F"/>
    <w:rsid w:val="000B5978"/>
    <w:rsid w:val="000C03E1"/>
    <w:rsid w:val="000C3A15"/>
    <w:rsid w:val="000D07DA"/>
    <w:rsid w:val="000D3E4B"/>
    <w:rsid w:val="000D75A6"/>
    <w:rsid w:val="000E4B47"/>
    <w:rsid w:val="000E66B6"/>
    <w:rsid w:val="000F5AB5"/>
    <w:rsid w:val="000F7168"/>
    <w:rsid w:val="00101A5B"/>
    <w:rsid w:val="00105D5E"/>
    <w:rsid w:val="0011132B"/>
    <w:rsid w:val="00113A9A"/>
    <w:rsid w:val="0012085F"/>
    <w:rsid w:val="00124A20"/>
    <w:rsid w:val="00132AD4"/>
    <w:rsid w:val="001348AD"/>
    <w:rsid w:val="00142DE2"/>
    <w:rsid w:val="00144C8F"/>
    <w:rsid w:val="00150879"/>
    <w:rsid w:val="001513BA"/>
    <w:rsid w:val="0015454C"/>
    <w:rsid w:val="001551DD"/>
    <w:rsid w:val="00155C6E"/>
    <w:rsid w:val="00157644"/>
    <w:rsid w:val="00157EAC"/>
    <w:rsid w:val="00165FAB"/>
    <w:rsid w:val="001679F7"/>
    <w:rsid w:val="001728E4"/>
    <w:rsid w:val="00174DC0"/>
    <w:rsid w:val="00176BCF"/>
    <w:rsid w:val="00176C08"/>
    <w:rsid w:val="001803C1"/>
    <w:rsid w:val="00180771"/>
    <w:rsid w:val="00181CB8"/>
    <w:rsid w:val="00195449"/>
    <w:rsid w:val="001A7176"/>
    <w:rsid w:val="001A7AFA"/>
    <w:rsid w:val="001A7D68"/>
    <w:rsid w:val="001B0634"/>
    <w:rsid w:val="001B21C8"/>
    <w:rsid w:val="001B7B89"/>
    <w:rsid w:val="001C4963"/>
    <w:rsid w:val="001C630A"/>
    <w:rsid w:val="001D112E"/>
    <w:rsid w:val="001D2598"/>
    <w:rsid w:val="001D356D"/>
    <w:rsid w:val="001D38E8"/>
    <w:rsid w:val="001D5D24"/>
    <w:rsid w:val="001D73BE"/>
    <w:rsid w:val="001E1652"/>
    <w:rsid w:val="001E3168"/>
    <w:rsid w:val="001E4F9C"/>
    <w:rsid w:val="001F1265"/>
    <w:rsid w:val="001F23F2"/>
    <w:rsid w:val="0020413C"/>
    <w:rsid w:val="00211392"/>
    <w:rsid w:val="0021171F"/>
    <w:rsid w:val="00211B05"/>
    <w:rsid w:val="002131FE"/>
    <w:rsid w:val="00221F45"/>
    <w:rsid w:val="002261C4"/>
    <w:rsid w:val="00226A7F"/>
    <w:rsid w:val="002277BD"/>
    <w:rsid w:val="00230F03"/>
    <w:rsid w:val="00231581"/>
    <w:rsid w:val="00237501"/>
    <w:rsid w:val="00241A92"/>
    <w:rsid w:val="002421FD"/>
    <w:rsid w:val="00242AF2"/>
    <w:rsid w:val="00245BD8"/>
    <w:rsid w:val="00246CD3"/>
    <w:rsid w:val="00246EF7"/>
    <w:rsid w:val="00247128"/>
    <w:rsid w:val="00247A85"/>
    <w:rsid w:val="00251EC7"/>
    <w:rsid w:val="002611F9"/>
    <w:rsid w:val="00263D37"/>
    <w:rsid w:val="00273A5D"/>
    <w:rsid w:val="00274643"/>
    <w:rsid w:val="00276C82"/>
    <w:rsid w:val="0027708E"/>
    <w:rsid w:val="0027723E"/>
    <w:rsid w:val="002802F7"/>
    <w:rsid w:val="00280FFA"/>
    <w:rsid w:val="00281F76"/>
    <w:rsid w:val="002866BC"/>
    <w:rsid w:val="00287100"/>
    <w:rsid w:val="00287135"/>
    <w:rsid w:val="00295899"/>
    <w:rsid w:val="002967A9"/>
    <w:rsid w:val="002A0E3E"/>
    <w:rsid w:val="002A1701"/>
    <w:rsid w:val="002A271B"/>
    <w:rsid w:val="002A4A66"/>
    <w:rsid w:val="002A4F7D"/>
    <w:rsid w:val="002B13E5"/>
    <w:rsid w:val="002B1D9E"/>
    <w:rsid w:val="002B4672"/>
    <w:rsid w:val="002B488E"/>
    <w:rsid w:val="002C1E76"/>
    <w:rsid w:val="002C57A1"/>
    <w:rsid w:val="002D557A"/>
    <w:rsid w:val="002E5469"/>
    <w:rsid w:val="002E6B54"/>
    <w:rsid w:val="002F0FDB"/>
    <w:rsid w:val="002F326D"/>
    <w:rsid w:val="002F4588"/>
    <w:rsid w:val="002F5464"/>
    <w:rsid w:val="00300F0A"/>
    <w:rsid w:val="003053AE"/>
    <w:rsid w:val="00306F51"/>
    <w:rsid w:val="00310581"/>
    <w:rsid w:val="00312454"/>
    <w:rsid w:val="00316AFF"/>
    <w:rsid w:val="00321412"/>
    <w:rsid w:val="00321B96"/>
    <w:rsid w:val="00321C68"/>
    <w:rsid w:val="003241F4"/>
    <w:rsid w:val="00326918"/>
    <w:rsid w:val="00326ED1"/>
    <w:rsid w:val="00332C8F"/>
    <w:rsid w:val="003431A0"/>
    <w:rsid w:val="003447F3"/>
    <w:rsid w:val="00345827"/>
    <w:rsid w:val="00347995"/>
    <w:rsid w:val="0035084E"/>
    <w:rsid w:val="00354698"/>
    <w:rsid w:val="0035560A"/>
    <w:rsid w:val="00356507"/>
    <w:rsid w:val="00370CFD"/>
    <w:rsid w:val="00373716"/>
    <w:rsid w:val="00374D32"/>
    <w:rsid w:val="00377FE6"/>
    <w:rsid w:val="00385A19"/>
    <w:rsid w:val="00386C95"/>
    <w:rsid w:val="00387838"/>
    <w:rsid w:val="00391196"/>
    <w:rsid w:val="00396B74"/>
    <w:rsid w:val="00396CA8"/>
    <w:rsid w:val="00397A8D"/>
    <w:rsid w:val="003A095C"/>
    <w:rsid w:val="003A0EFD"/>
    <w:rsid w:val="003A748A"/>
    <w:rsid w:val="003B7A02"/>
    <w:rsid w:val="003C32D1"/>
    <w:rsid w:val="003C5A10"/>
    <w:rsid w:val="003D6399"/>
    <w:rsid w:val="003D6B5F"/>
    <w:rsid w:val="003E30B9"/>
    <w:rsid w:val="003E3BCD"/>
    <w:rsid w:val="003E441C"/>
    <w:rsid w:val="003E68FE"/>
    <w:rsid w:val="003F6D82"/>
    <w:rsid w:val="004016AA"/>
    <w:rsid w:val="00404DA3"/>
    <w:rsid w:val="00414D8E"/>
    <w:rsid w:val="00414FE7"/>
    <w:rsid w:val="00415367"/>
    <w:rsid w:val="0042039A"/>
    <w:rsid w:val="00425570"/>
    <w:rsid w:val="004337BD"/>
    <w:rsid w:val="0043625D"/>
    <w:rsid w:val="00436CDE"/>
    <w:rsid w:val="00453B86"/>
    <w:rsid w:val="00456AE7"/>
    <w:rsid w:val="0046157B"/>
    <w:rsid w:val="004620EF"/>
    <w:rsid w:val="004673F8"/>
    <w:rsid w:val="004675EF"/>
    <w:rsid w:val="00472F5C"/>
    <w:rsid w:val="00473F41"/>
    <w:rsid w:val="00477123"/>
    <w:rsid w:val="004839A6"/>
    <w:rsid w:val="00486BEA"/>
    <w:rsid w:val="00486D1B"/>
    <w:rsid w:val="0049183F"/>
    <w:rsid w:val="0049240F"/>
    <w:rsid w:val="0049798C"/>
    <w:rsid w:val="004A0EF3"/>
    <w:rsid w:val="004A556B"/>
    <w:rsid w:val="004B17F4"/>
    <w:rsid w:val="004B2433"/>
    <w:rsid w:val="004B2CC4"/>
    <w:rsid w:val="004C1633"/>
    <w:rsid w:val="004C3C3E"/>
    <w:rsid w:val="004C5045"/>
    <w:rsid w:val="004D13D2"/>
    <w:rsid w:val="004D1637"/>
    <w:rsid w:val="004D355D"/>
    <w:rsid w:val="004D3B00"/>
    <w:rsid w:val="004D5202"/>
    <w:rsid w:val="004D68E9"/>
    <w:rsid w:val="004E35F5"/>
    <w:rsid w:val="004E6F4F"/>
    <w:rsid w:val="004F468A"/>
    <w:rsid w:val="004F63F5"/>
    <w:rsid w:val="00501FD4"/>
    <w:rsid w:val="0050775E"/>
    <w:rsid w:val="005109FA"/>
    <w:rsid w:val="0051201B"/>
    <w:rsid w:val="005142DA"/>
    <w:rsid w:val="00514615"/>
    <w:rsid w:val="00515ED1"/>
    <w:rsid w:val="005204D9"/>
    <w:rsid w:val="00521CC6"/>
    <w:rsid w:val="00525217"/>
    <w:rsid w:val="005426B4"/>
    <w:rsid w:val="00542747"/>
    <w:rsid w:val="00542DDF"/>
    <w:rsid w:val="005442A1"/>
    <w:rsid w:val="00546578"/>
    <w:rsid w:val="00550FD0"/>
    <w:rsid w:val="00554B90"/>
    <w:rsid w:val="005566ED"/>
    <w:rsid w:val="00561F2F"/>
    <w:rsid w:val="005661E0"/>
    <w:rsid w:val="005668EF"/>
    <w:rsid w:val="00572249"/>
    <w:rsid w:val="00573942"/>
    <w:rsid w:val="00573C77"/>
    <w:rsid w:val="0058378F"/>
    <w:rsid w:val="00584DFB"/>
    <w:rsid w:val="0058509F"/>
    <w:rsid w:val="0059022B"/>
    <w:rsid w:val="005A4CF4"/>
    <w:rsid w:val="005B07AE"/>
    <w:rsid w:val="005B0E05"/>
    <w:rsid w:val="005B27D4"/>
    <w:rsid w:val="005B4823"/>
    <w:rsid w:val="005B577C"/>
    <w:rsid w:val="005C096D"/>
    <w:rsid w:val="005C2F71"/>
    <w:rsid w:val="005C49F6"/>
    <w:rsid w:val="005D7BFF"/>
    <w:rsid w:val="005E16E3"/>
    <w:rsid w:val="005E2B1A"/>
    <w:rsid w:val="005E2CCE"/>
    <w:rsid w:val="005E2DDD"/>
    <w:rsid w:val="005F0F7C"/>
    <w:rsid w:val="005F120E"/>
    <w:rsid w:val="005F268B"/>
    <w:rsid w:val="00605159"/>
    <w:rsid w:val="0060735D"/>
    <w:rsid w:val="00613ECD"/>
    <w:rsid w:val="0061760A"/>
    <w:rsid w:val="006228F5"/>
    <w:rsid w:val="00625137"/>
    <w:rsid w:val="00626CE8"/>
    <w:rsid w:val="00631F3B"/>
    <w:rsid w:val="00636AD7"/>
    <w:rsid w:val="0064075C"/>
    <w:rsid w:val="00646207"/>
    <w:rsid w:val="00660E93"/>
    <w:rsid w:val="0066279A"/>
    <w:rsid w:val="006635BE"/>
    <w:rsid w:val="006637DB"/>
    <w:rsid w:val="00664AFB"/>
    <w:rsid w:val="00666631"/>
    <w:rsid w:val="006770D3"/>
    <w:rsid w:val="0068012E"/>
    <w:rsid w:val="00681732"/>
    <w:rsid w:val="00683CEE"/>
    <w:rsid w:val="006860C6"/>
    <w:rsid w:val="00696143"/>
    <w:rsid w:val="006970C1"/>
    <w:rsid w:val="006973B5"/>
    <w:rsid w:val="006A6583"/>
    <w:rsid w:val="006A6670"/>
    <w:rsid w:val="006B4D83"/>
    <w:rsid w:val="006B6DB5"/>
    <w:rsid w:val="006C0E28"/>
    <w:rsid w:val="006C5EC7"/>
    <w:rsid w:val="006D1F31"/>
    <w:rsid w:val="006E27CF"/>
    <w:rsid w:val="006E2FBC"/>
    <w:rsid w:val="006F319E"/>
    <w:rsid w:val="006F7784"/>
    <w:rsid w:val="00701441"/>
    <w:rsid w:val="007067FE"/>
    <w:rsid w:val="00706AA8"/>
    <w:rsid w:val="00707537"/>
    <w:rsid w:val="0070766B"/>
    <w:rsid w:val="0070767A"/>
    <w:rsid w:val="0072030E"/>
    <w:rsid w:val="00725F20"/>
    <w:rsid w:val="00726986"/>
    <w:rsid w:val="0073274E"/>
    <w:rsid w:val="00737362"/>
    <w:rsid w:val="007418B7"/>
    <w:rsid w:val="00741FF1"/>
    <w:rsid w:val="0074717C"/>
    <w:rsid w:val="00747AFB"/>
    <w:rsid w:val="00762859"/>
    <w:rsid w:val="00763746"/>
    <w:rsid w:val="00774568"/>
    <w:rsid w:val="00775A46"/>
    <w:rsid w:val="00776477"/>
    <w:rsid w:val="00777429"/>
    <w:rsid w:val="007827CC"/>
    <w:rsid w:val="00783482"/>
    <w:rsid w:val="00783CE7"/>
    <w:rsid w:val="00785BC7"/>
    <w:rsid w:val="00786A6A"/>
    <w:rsid w:val="00793A63"/>
    <w:rsid w:val="007A0F56"/>
    <w:rsid w:val="007A6A63"/>
    <w:rsid w:val="007B1E2F"/>
    <w:rsid w:val="007B35BA"/>
    <w:rsid w:val="007B57F9"/>
    <w:rsid w:val="007B5AA0"/>
    <w:rsid w:val="007B5F8F"/>
    <w:rsid w:val="007B693B"/>
    <w:rsid w:val="007C1B99"/>
    <w:rsid w:val="007D0300"/>
    <w:rsid w:val="007D5CDB"/>
    <w:rsid w:val="007D6328"/>
    <w:rsid w:val="007E230A"/>
    <w:rsid w:val="007E4480"/>
    <w:rsid w:val="007E4B7D"/>
    <w:rsid w:val="007E4F3A"/>
    <w:rsid w:val="007F0735"/>
    <w:rsid w:val="007F0A2D"/>
    <w:rsid w:val="007F1E49"/>
    <w:rsid w:val="007F2F55"/>
    <w:rsid w:val="007F5F9B"/>
    <w:rsid w:val="0080391D"/>
    <w:rsid w:val="00807CA2"/>
    <w:rsid w:val="00807FCB"/>
    <w:rsid w:val="00815B19"/>
    <w:rsid w:val="008175A7"/>
    <w:rsid w:val="00817B36"/>
    <w:rsid w:val="00820D82"/>
    <w:rsid w:val="008324D1"/>
    <w:rsid w:val="00834C80"/>
    <w:rsid w:val="0083549C"/>
    <w:rsid w:val="00841C8D"/>
    <w:rsid w:val="00845520"/>
    <w:rsid w:val="00845D4F"/>
    <w:rsid w:val="00846049"/>
    <w:rsid w:val="00863473"/>
    <w:rsid w:val="008654E2"/>
    <w:rsid w:val="00867A2E"/>
    <w:rsid w:val="00882A85"/>
    <w:rsid w:val="008839C1"/>
    <w:rsid w:val="008952D3"/>
    <w:rsid w:val="008955AE"/>
    <w:rsid w:val="00897E3F"/>
    <w:rsid w:val="008A11CF"/>
    <w:rsid w:val="008A2D54"/>
    <w:rsid w:val="008A4CB8"/>
    <w:rsid w:val="008A5CF3"/>
    <w:rsid w:val="008B1CA0"/>
    <w:rsid w:val="008B3E6B"/>
    <w:rsid w:val="008B5869"/>
    <w:rsid w:val="008C2C1A"/>
    <w:rsid w:val="008C3B0C"/>
    <w:rsid w:val="008C7222"/>
    <w:rsid w:val="008C7F80"/>
    <w:rsid w:val="008D03F0"/>
    <w:rsid w:val="008D1DEF"/>
    <w:rsid w:val="008D6517"/>
    <w:rsid w:val="008E06D0"/>
    <w:rsid w:val="008E3A72"/>
    <w:rsid w:val="008F2AC5"/>
    <w:rsid w:val="008F6814"/>
    <w:rsid w:val="009020FF"/>
    <w:rsid w:val="00902487"/>
    <w:rsid w:val="00903092"/>
    <w:rsid w:val="00903E3E"/>
    <w:rsid w:val="00903FC4"/>
    <w:rsid w:val="009100FB"/>
    <w:rsid w:val="00912B23"/>
    <w:rsid w:val="00914400"/>
    <w:rsid w:val="00916B67"/>
    <w:rsid w:val="00917FE8"/>
    <w:rsid w:val="00920878"/>
    <w:rsid w:val="0092416E"/>
    <w:rsid w:val="009245C3"/>
    <w:rsid w:val="009255D0"/>
    <w:rsid w:val="00933D79"/>
    <w:rsid w:val="00937EDF"/>
    <w:rsid w:val="00940C5E"/>
    <w:rsid w:val="00941D63"/>
    <w:rsid w:val="00943B81"/>
    <w:rsid w:val="009479F4"/>
    <w:rsid w:val="00947DC7"/>
    <w:rsid w:val="009539C3"/>
    <w:rsid w:val="009600D6"/>
    <w:rsid w:val="009662C9"/>
    <w:rsid w:val="00966E85"/>
    <w:rsid w:val="0097249A"/>
    <w:rsid w:val="009830C7"/>
    <w:rsid w:val="00984E45"/>
    <w:rsid w:val="009859A3"/>
    <w:rsid w:val="00991459"/>
    <w:rsid w:val="00991C1D"/>
    <w:rsid w:val="00994904"/>
    <w:rsid w:val="009959F0"/>
    <w:rsid w:val="0099772F"/>
    <w:rsid w:val="00997942"/>
    <w:rsid w:val="009A1032"/>
    <w:rsid w:val="009B384F"/>
    <w:rsid w:val="009B3C7D"/>
    <w:rsid w:val="009C0ED6"/>
    <w:rsid w:val="009C3A7F"/>
    <w:rsid w:val="009C5B2C"/>
    <w:rsid w:val="009C7139"/>
    <w:rsid w:val="009D08B8"/>
    <w:rsid w:val="009D37F4"/>
    <w:rsid w:val="009D7A2C"/>
    <w:rsid w:val="009E217B"/>
    <w:rsid w:val="009F5062"/>
    <w:rsid w:val="009F52F4"/>
    <w:rsid w:val="009F7232"/>
    <w:rsid w:val="00A07CD6"/>
    <w:rsid w:val="00A10D92"/>
    <w:rsid w:val="00A12AD6"/>
    <w:rsid w:val="00A158F8"/>
    <w:rsid w:val="00A15D25"/>
    <w:rsid w:val="00A1640F"/>
    <w:rsid w:val="00A17865"/>
    <w:rsid w:val="00A21B2A"/>
    <w:rsid w:val="00A25964"/>
    <w:rsid w:val="00A40C86"/>
    <w:rsid w:val="00A42923"/>
    <w:rsid w:val="00A4616C"/>
    <w:rsid w:val="00A466BD"/>
    <w:rsid w:val="00A54447"/>
    <w:rsid w:val="00A5520B"/>
    <w:rsid w:val="00A57DBF"/>
    <w:rsid w:val="00A60D70"/>
    <w:rsid w:val="00A656CE"/>
    <w:rsid w:val="00A71BD0"/>
    <w:rsid w:val="00A72C11"/>
    <w:rsid w:val="00A73210"/>
    <w:rsid w:val="00A74B14"/>
    <w:rsid w:val="00A76A78"/>
    <w:rsid w:val="00A82F92"/>
    <w:rsid w:val="00A83352"/>
    <w:rsid w:val="00A838FD"/>
    <w:rsid w:val="00A90E29"/>
    <w:rsid w:val="00A9461E"/>
    <w:rsid w:val="00AA08E6"/>
    <w:rsid w:val="00AA2E74"/>
    <w:rsid w:val="00AA2ED1"/>
    <w:rsid w:val="00AA7558"/>
    <w:rsid w:val="00AB1CD6"/>
    <w:rsid w:val="00AB3623"/>
    <w:rsid w:val="00AB673E"/>
    <w:rsid w:val="00AB75BB"/>
    <w:rsid w:val="00AC546E"/>
    <w:rsid w:val="00AC7508"/>
    <w:rsid w:val="00AD0C13"/>
    <w:rsid w:val="00AD3E3E"/>
    <w:rsid w:val="00AD4D0A"/>
    <w:rsid w:val="00AD5B21"/>
    <w:rsid w:val="00AE117F"/>
    <w:rsid w:val="00AE43B5"/>
    <w:rsid w:val="00AE549E"/>
    <w:rsid w:val="00AE73E7"/>
    <w:rsid w:val="00B00549"/>
    <w:rsid w:val="00B032B8"/>
    <w:rsid w:val="00B0636A"/>
    <w:rsid w:val="00B16905"/>
    <w:rsid w:val="00B16ACC"/>
    <w:rsid w:val="00B21AAE"/>
    <w:rsid w:val="00B22A1F"/>
    <w:rsid w:val="00B2490D"/>
    <w:rsid w:val="00B332BF"/>
    <w:rsid w:val="00B35248"/>
    <w:rsid w:val="00B35E51"/>
    <w:rsid w:val="00B42AA4"/>
    <w:rsid w:val="00B43340"/>
    <w:rsid w:val="00B44614"/>
    <w:rsid w:val="00B5211F"/>
    <w:rsid w:val="00B56D1D"/>
    <w:rsid w:val="00B60384"/>
    <w:rsid w:val="00B616BC"/>
    <w:rsid w:val="00B6196F"/>
    <w:rsid w:val="00B62A99"/>
    <w:rsid w:val="00B63674"/>
    <w:rsid w:val="00B63799"/>
    <w:rsid w:val="00B64A29"/>
    <w:rsid w:val="00B64D4B"/>
    <w:rsid w:val="00B70108"/>
    <w:rsid w:val="00B722A1"/>
    <w:rsid w:val="00B74C6A"/>
    <w:rsid w:val="00B77935"/>
    <w:rsid w:val="00B80281"/>
    <w:rsid w:val="00B81F61"/>
    <w:rsid w:val="00B8375F"/>
    <w:rsid w:val="00B92179"/>
    <w:rsid w:val="00B93D26"/>
    <w:rsid w:val="00B94A60"/>
    <w:rsid w:val="00B95A7C"/>
    <w:rsid w:val="00B9620D"/>
    <w:rsid w:val="00B97CC3"/>
    <w:rsid w:val="00BA417C"/>
    <w:rsid w:val="00BA6D54"/>
    <w:rsid w:val="00BA7B99"/>
    <w:rsid w:val="00BB51EF"/>
    <w:rsid w:val="00BB72CD"/>
    <w:rsid w:val="00BB734E"/>
    <w:rsid w:val="00BC209D"/>
    <w:rsid w:val="00BC7AE2"/>
    <w:rsid w:val="00BD0D3C"/>
    <w:rsid w:val="00BE4141"/>
    <w:rsid w:val="00BE47C5"/>
    <w:rsid w:val="00BE717C"/>
    <w:rsid w:val="00BE7281"/>
    <w:rsid w:val="00BF00CD"/>
    <w:rsid w:val="00BF0E77"/>
    <w:rsid w:val="00BF113C"/>
    <w:rsid w:val="00BF520A"/>
    <w:rsid w:val="00BF620B"/>
    <w:rsid w:val="00BF7F37"/>
    <w:rsid w:val="00C0038B"/>
    <w:rsid w:val="00C15830"/>
    <w:rsid w:val="00C24359"/>
    <w:rsid w:val="00C302A4"/>
    <w:rsid w:val="00C36FD7"/>
    <w:rsid w:val="00C41358"/>
    <w:rsid w:val="00C45BF2"/>
    <w:rsid w:val="00C50A30"/>
    <w:rsid w:val="00C53527"/>
    <w:rsid w:val="00C535F5"/>
    <w:rsid w:val="00C54457"/>
    <w:rsid w:val="00C55AB8"/>
    <w:rsid w:val="00C55BC1"/>
    <w:rsid w:val="00C63416"/>
    <w:rsid w:val="00C63CF0"/>
    <w:rsid w:val="00C65F42"/>
    <w:rsid w:val="00C74EB5"/>
    <w:rsid w:val="00C75449"/>
    <w:rsid w:val="00C761D1"/>
    <w:rsid w:val="00C82606"/>
    <w:rsid w:val="00C8286D"/>
    <w:rsid w:val="00C839AD"/>
    <w:rsid w:val="00C849B1"/>
    <w:rsid w:val="00C85F51"/>
    <w:rsid w:val="00C9047B"/>
    <w:rsid w:val="00C95246"/>
    <w:rsid w:val="00C96A54"/>
    <w:rsid w:val="00CA0A3C"/>
    <w:rsid w:val="00CA1CE8"/>
    <w:rsid w:val="00CA2B7B"/>
    <w:rsid w:val="00CA67FB"/>
    <w:rsid w:val="00CB11C4"/>
    <w:rsid w:val="00CB3462"/>
    <w:rsid w:val="00CB4AA6"/>
    <w:rsid w:val="00CB53DA"/>
    <w:rsid w:val="00CC21D9"/>
    <w:rsid w:val="00CC5045"/>
    <w:rsid w:val="00CC6EFE"/>
    <w:rsid w:val="00CE04C8"/>
    <w:rsid w:val="00CF6BE8"/>
    <w:rsid w:val="00D02EBA"/>
    <w:rsid w:val="00D11530"/>
    <w:rsid w:val="00D16DD7"/>
    <w:rsid w:val="00D17B72"/>
    <w:rsid w:val="00D20E18"/>
    <w:rsid w:val="00D228CC"/>
    <w:rsid w:val="00D2611B"/>
    <w:rsid w:val="00D26C36"/>
    <w:rsid w:val="00D26E28"/>
    <w:rsid w:val="00D3455A"/>
    <w:rsid w:val="00D349FA"/>
    <w:rsid w:val="00D35599"/>
    <w:rsid w:val="00D36048"/>
    <w:rsid w:val="00D43B10"/>
    <w:rsid w:val="00D43F23"/>
    <w:rsid w:val="00D44E31"/>
    <w:rsid w:val="00D457D7"/>
    <w:rsid w:val="00D509BF"/>
    <w:rsid w:val="00D50DDA"/>
    <w:rsid w:val="00D51017"/>
    <w:rsid w:val="00D54A7B"/>
    <w:rsid w:val="00D54EAE"/>
    <w:rsid w:val="00D56647"/>
    <w:rsid w:val="00D56F14"/>
    <w:rsid w:val="00D61777"/>
    <w:rsid w:val="00D62E91"/>
    <w:rsid w:val="00D7001E"/>
    <w:rsid w:val="00D72F6A"/>
    <w:rsid w:val="00D7712E"/>
    <w:rsid w:val="00D817B0"/>
    <w:rsid w:val="00D85BE3"/>
    <w:rsid w:val="00D9171F"/>
    <w:rsid w:val="00D91978"/>
    <w:rsid w:val="00D91D53"/>
    <w:rsid w:val="00D92EC5"/>
    <w:rsid w:val="00D977DA"/>
    <w:rsid w:val="00DA1A89"/>
    <w:rsid w:val="00DA5852"/>
    <w:rsid w:val="00DA6D01"/>
    <w:rsid w:val="00DC1258"/>
    <w:rsid w:val="00DC1914"/>
    <w:rsid w:val="00DC50AA"/>
    <w:rsid w:val="00DD076F"/>
    <w:rsid w:val="00DD4A57"/>
    <w:rsid w:val="00DF18E7"/>
    <w:rsid w:val="00DF21ED"/>
    <w:rsid w:val="00DF6483"/>
    <w:rsid w:val="00E03298"/>
    <w:rsid w:val="00E03351"/>
    <w:rsid w:val="00E040AD"/>
    <w:rsid w:val="00E05850"/>
    <w:rsid w:val="00E05DBD"/>
    <w:rsid w:val="00E105CA"/>
    <w:rsid w:val="00E22613"/>
    <w:rsid w:val="00E25AAA"/>
    <w:rsid w:val="00E3110D"/>
    <w:rsid w:val="00E3155A"/>
    <w:rsid w:val="00E42400"/>
    <w:rsid w:val="00E45049"/>
    <w:rsid w:val="00E51797"/>
    <w:rsid w:val="00E5411E"/>
    <w:rsid w:val="00E55230"/>
    <w:rsid w:val="00E559BA"/>
    <w:rsid w:val="00E60F1A"/>
    <w:rsid w:val="00E6656A"/>
    <w:rsid w:val="00E7738D"/>
    <w:rsid w:val="00E80670"/>
    <w:rsid w:val="00E84200"/>
    <w:rsid w:val="00E84DD9"/>
    <w:rsid w:val="00E84EE6"/>
    <w:rsid w:val="00E857FE"/>
    <w:rsid w:val="00E85A3B"/>
    <w:rsid w:val="00E904D6"/>
    <w:rsid w:val="00E93476"/>
    <w:rsid w:val="00E949AF"/>
    <w:rsid w:val="00E95AA4"/>
    <w:rsid w:val="00EA0F8A"/>
    <w:rsid w:val="00EA356D"/>
    <w:rsid w:val="00EA4FF7"/>
    <w:rsid w:val="00EB22BC"/>
    <w:rsid w:val="00EC1C6E"/>
    <w:rsid w:val="00EC23AC"/>
    <w:rsid w:val="00EC2605"/>
    <w:rsid w:val="00EC45A2"/>
    <w:rsid w:val="00EC56DF"/>
    <w:rsid w:val="00EC61CD"/>
    <w:rsid w:val="00EC7626"/>
    <w:rsid w:val="00EC7B01"/>
    <w:rsid w:val="00ED07D6"/>
    <w:rsid w:val="00ED1BEE"/>
    <w:rsid w:val="00ED2CF2"/>
    <w:rsid w:val="00ED46E5"/>
    <w:rsid w:val="00ED4EF1"/>
    <w:rsid w:val="00ED5C3D"/>
    <w:rsid w:val="00ED5D45"/>
    <w:rsid w:val="00ED6FC0"/>
    <w:rsid w:val="00ED7153"/>
    <w:rsid w:val="00EE0D2F"/>
    <w:rsid w:val="00EE4274"/>
    <w:rsid w:val="00EE4816"/>
    <w:rsid w:val="00EF2C41"/>
    <w:rsid w:val="00F03736"/>
    <w:rsid w:val="00F059E1"/>
    <w:rsid w:val="00F06128"/>
    <w:rsid w:val="00F07895"/>
    <w:rsid w:val="00F10C85"/>
    <w:rsid w:val="00F13895"/>
    <w:rsid w:val="00F156BC"/>
    <w:rsid w:val="00F2031B"/>
    <w:rsid w:val="00F27C6E"/>
    <w:rsid w:val="00F365C9"/>
    <w:rsid w:val="00F46FC8"/>
    <w:rsid w:val="00F570A5"/>
    <w:rsid w:val="00F60A6B"/>
    <w:rsid w:val="00F61102"/>
    <w:rsid w:val="00F6719F"/>
    <w:rsid w:val="00F714DD"/>
    <w:rsid w:val="00F743A5"/>
    <w:rsid w:val="00F77D29"/>
    <w:rsid w:val="00F84CC8"/>
    <w:rsid w:val="00F86C10"/>
    <w:rsid w:val="00F9043A"/>
    <w:rsid w:val="00F93229"/>
    <w:rsid w:val="00FA0BDE"/>
    <w:rsid w:val="00FA553C"/>
    <w:rsid w:val="00FB0D54"/>
    <w:rsid w:val="00FB25B4"/>
    <w:rsid w:val="00FB2CB5"/>
    <w:rsid w:val="00FB63D0"/>
    <w:rsid w:val="00FC05E5"/>
    <w:rsid w:val="00FC502C"/>
    <w:rsid w:val="00FC5325"/>
    <w:rsid w:val="00FD006B"/>
    <w:rsid w:val="00FD2676"/>
    <w:rsid w:val="00FD5A07"/>
    <w:rsid w:val="00FE0F7E"/>
    <w:rsid w:val="00FE1166"/>
    <w:rsid w:val="00FF300D"/>
    <w:rsid w:val="00FF4F67"/>
    <w:rsid w:val="00FF5929"/>
    <w:rsid w:val="00FF7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F4D4"/>
  <w15:docId w15:val="{A5E2E47F-D998-430F-A61A-F33E9B7A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D16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157E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D62E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simple1"/>
    <w:uiPriority w:val="99"/>
    <w:rsid w:val="007F2F55"/>
    <w:pPr>
      <w:spacing w:after="0" w:line="240" w:lineRule="auto"/>
    </w:p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1">
    <w:name w:val="Table Simple 1"/>
    <w:basedOn w:val="TableauNormal"/>
    <w:uiPriority w:val="99"/>
    <w:semiHidden/>
    <w:unhideWhenUsed/>
    <w:rsid w:val="007F2F5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aragraphedeliste">
    <w:name w:val="List Paragraph"/>
    <w:aliases w:val="Bullets,References,Medium Grid 1 - Accent 21,Paragraphe  revu,List Paragraph1,Liste Article"/>
    <w:basedOn w:val="Normal"/>
    <w:link w:val="ParagraphedelisteCar"/>
    <w:uiPriority w:val="34"/>
    <w:qFormat/>
    <w:rsid w:val="009539C3"/>
    <w:pPr>
      <w:ind w:left="720"/>
      <w:contextualSpacing/>
    </w:pPr>
  </w:style>
  <w:style w:type="paragraph" w:styleId="Lgende">
    <w:name w:val="caption"/>
    <w:basedOn w:val="Normal"/>
    <w:next w:val="Normal"/>
    <w:uiPriority w:val="35"/>
    <w:qFormat/>
    <w:rsid w:val="00A12AD6"/>
    <w:pPr>
      <w:spacing w:after="200" w:line="240" w:lineRule="auto"/>
    </w:pPr>
    <w:rPr>
      <w:rFonts w:ascii="Times New Roman" w:eastAsia="Times New Roman" w:hAnsi="Times New Roman" w:cs="Times New Roman"/>
      <w:i/>
      <w:iCs/>
      <w:color w:val="44546A"/>
      <w:sz w:val="18"/>
      <w:szCs w:val="18"/>
      <w:lang w:eastAsia="fr-FR"/>
    </w:rPr>
  </w:style>
  <w:style w:type="paragraph" w:styleId="En-tte">
    <w:name w:val="header"/>
    <w:basedOn w:val="Normal"/>
    <w:link w:val="En-tteCar"/>
    <w:uiPriority w:val="99"/>
    <w:unhideWhenUsed/>
    <w:rsid w:val="001D38E8"/>
    <w:pPr>
      <w:tabs>
        <w:tab w:val="center" w:pos="4536"/>
        <w:tab w:val="right" w:pos="9072"/>
      </w:tabs>
      <w:spacing w:after="0" w:line="240" w:lineRule="auto"/>
    </w:pPr>
  </w:style>
  <w:style w:type="character" w:customStyle="1" w:styleId="En-tteCar">
    <w:name w:val="En-tête Car"/>
    <w:basedOn w:val="Policepardfaut"/>
    <w:link w:val="En-tte"/>
    <w:uiPriority w:val="99"/>
    <w:rsid w:val="001D38E8"/>
  </w:style>
  <w:style w:type="paragraph" w:styleId="Pieddepage">
    <w:name w:val="footer"/>
    <w:basedOn w:val="Normal"/>
    <w:link w:val="PieddepageCar"/>
    <w:uiPriority w:val="99"/>
    <w:unhideWhenUsed/>
    <w:rsid w:val="001D38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8E8"/>
  </w:style>
  <w:style w:type="character" w:customStyle="1" w:styleId="Titre1Car">
    <w:name w:val="Titre 1 Car"/>
    <w:basedOn w:val="Policepardfaut"/>
    <w:link w:val="Titre1"/>
    <w:uiPriority w:val="9"/>
    <w:rsid w:val="004D1637"/>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4D1637"/>
    <w:pPr>
      <w:outlineLvl w:val="9"/>
    </w:pPr>
    <w:rPr>
      <w:lang w:eastAsia="fr-FR"/>
    </w:rPr>
  </w:style>
  <w:style w:type="paragraph" w:styleId="TM1">
    <w:name w:val="toc 1"/>
    <w:basedOn w:val="Normal"/>
    <w:next w:val="Normal"/>
    <w:autoRedefine/>
    <w:uiPriority w:val="39"/>
    <w:unhideWhenUsed/>
    <w:rsid w:val="004D1637"/>
    <w:pPr>
      <w:spacing w:after="100"/>
    </w:pPr>
  </w:style>
  <w:style w:type="character" w:styleId="Lienhypertexte">
    <w:name w:val="Hyperlink"/>
    <w:basedOn w:val="Policepardfaut"/>
    <w:uiPriority w:val="99"/>
    <w:unhideWhenUsed/>
    <w:rsid w:val="004D1637"/>
    <w:rPr>
      <w:color w:val="0563C1" w:themeColor="hyperlink"/>
      <w:u w:val="single"/>
    </w:rPr>
  </w:style>
  <w:style w:type="paragraph" w:styleId="Tabledesillustrations">
    <w:name w:val="table of figures"/>
    <w:basedOn w:val="Normal"/>
    <w:next w:val="Normal"/>
    <w:uiPriority w:val="99"/>
    <w:unhideWhenUsed/>
    <w:rsid w:val="004D1637"/>
    <w:pPr>
      <w:spacing w:after="0"/>
    </w:pPr>
  </w:style>
  <w:style w:type="character" w:customStyle="1" w:styleId="Titre2Car">
    <w:name w:val="Titre 2 Car"/>
    <w:basedOn w:val="Policepardfaut"/>
    <w:link w:val="Titre2"/>
    <w:uiPriority w:val="9"/>
    <w:rsid w:val="00157EAC"/>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rsid w:val="00725F20"/>
    <w:pPr>
      <w:spacing w:after="100"/>
      <w:ind w:left="220"/>
    </w:pPr>
  </w:style>
  <w:style w:type="paragraph" w:customStyle="1" w:styleId="Normal0">
    <w:name w:val="Normal_0"/>
    <w:qFormat/>
    <w:rsid w:val="00016BC6"/>
    <w:pPr>
      <w:spacing w:line="256" w:lineRule="auto"/>
    </w:pPr>
    <w:rPr>
      <w:lang w:val="en-US"/>
    </w:rPr>
  </w:style>
  <w:style w:type="character" w:customStyle="1" w:styleId="ParagraphedelisteCar">
    <w:name w:val="Paragraphe de liste Car"/>
    <w:aliases w:val="Bullets Car,References Car,Medium Grid 1 - Accent 21 Car,Paragraphe  revu Car,List Paragraph1 Car,Liste Article Car"/>
    <w:link w:val="Paragraphedeliste"/>
    <w:uiPriority w:val="34"/>
    <w:locked/>
    <w:rsid w:val="00016BC6"/>
  </w:style>
  <w:style w:type="paragraph" w:styleId="Notedebasdepage">
    <w:name w:val="footnote text"/>
    <w:basedOn w:val="Normal"/>
    <w:link w:val="NotedebasdepageCar"/>
    <w:uiPriority w:val="99"/>
    <w:semiHidden/>
    <w:unhideWhenUsed/>
    <w:rsid w:val="00AE11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117F"/>
    <w:rPr>
      <w:sz w:val="20"/>
      <w:szCs w:val="20"/>
    </w:rPr>
  </w:style>
  <w:style w:type="character" w:styleId="Appelnotedebasdep">
    <w:name w:val="footnote reference"/>
    <w:basedOn w:val="Policepardfaut"/>
    <w:uiPriority w:val="99"/>
    <w:semiHidden/>
    <w:unhideWhenUsed/>
    <w:rsid w:val="00AE117F"/>
    <w:rPr>
      <w:vertAlign w:val="superscript"/>
    </w:rPr>
  </w:style>
  <w:style w:type="character" w:customStyle="1" w:styleId="A4">
    <w:name w:val="A4"/>
    <w:uiPriority w:val="99"/>
    <w:rsid w:val="00E03351"/>
    <w:rPr>
      <w:rFonts w:cs="Minion Pro"/>
      <w:color w:val="000000"/>
      <w:sz w:val="22"/>
      <w:szCs w:val="22"/>
    </w:rPr>
  </w:style>
  <w:style w:type="paragraph" w:styleId="Textedebulles">
    <w:name w:val="Balloon Text"/>
    <w:basedOn w:val="Normal"/>
    <w:link w:val="TextedebullesCar"/>
    <w:uiPriority w:val="99"/>
    <w:semiHidden/>
    <w:unhideWhenUsed/>
    <w:rsid w:val="00834C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4C80"/>
    <w:rPr>
      <w:rFonts w:ascii="Tahoma" w:hAnsi="Tahoma" w:cs="Tahoma"/>
      <w:sz w:val="16"/>
      <w:szCs w:val="16"/>
    </w:rPr>
  </w:style>
  <w:style w:type="character" w:styleId="lev">
    <w:name w:val="Strong"/>
    <w:basedOn w:val="Policepardfaut"/>
    <w:uiPriority w:val="22"/>
    <w:qFormat/>
    <w:rsid w:val="002F5464"/>
    <w:rPr>
      <w:b/>
      <w:bCs/>
    </w:rPr>
  </w:style>
  <w:style w:type="table" w:styleId="Grilledutableau">
    <w:name w:val="Table Grid"/>
    <w:basedOn w:val="TableauNormal"/>
    <w:uiPriority w:val="39"/>
    <w:rsid w:val="00C41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0B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3Car">
    <w:name w:val="Titre 3 Car"/>
    <w:basedOn w:val="Policepardfaut"/>
    <w:link w:val="Titre3"/>
    <w:uiPriority w:val="9"/>
    <w:semiHidden/>
    <w:rsid w:val="00D62E91"/>
    <w:rPr>
      <w:rFonts w:asciiTheme="majorHAnsi" w:eastAsiaTheme="majorEastAsia" w:hAnsiTheme="majorHAnsi" w:cstheme="majorBidi"/>
      <w:color w:val="1F4D78" w:themeColor="accent1" w:themeShade="7F"/>
      <w:sz w:val="24"/>
      <w:szCs w:val="24"/>
    </w:rPr>
  </w:style>
  <w:style w:type="paragraph" w:styleId="TM3">
    <w:name w:val="toc 3"/>
    <w:basedOn w:val="Normal"/>
    <w:next w:val="Normal"/>
    <w:autoRedefine/>
    <w:uiPriority w:val="39"/>
    <w:unhideWhenUsed/>
    <w:rsid w:val="00937ED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9971">
      <w:bodyDiv w:val="1"/>
      <w:marLeft w:val="0"/>
      <w:marRight w:val="0"/>
      <w:marTop w:val="0"/>
      <w:marBottom w:val="0"/>
      <w:divBdr>
        <w:top w:val="none" w:sz="0" w:space="0" w:color="auto"/>
        <w:left w:val="none" w:sz="0" w:space="0" w:color="auto"/>
        <w:bottom w:val="none" w:sz="0" w:space="0" w:color="auto"/>
        <w:right w:val="none" w:sz="0" w:space="0" w:color="auto"/>
      </w:divBdr>
    </w:div>
    <w:div w:id="82185840">
      <w:bodyDiv w:val="1"/>
      <w:marLeft w:val="0"/>
      <w:marRight w:val="0"/>
      <w:marTop w:val="0"/>
      <w:marBottom w:val="0"/>
      <w:divBdr>
        <w:top w:val="none" w:sz="0" w:space="0" w:color="auto"/>
        <w:left w:val="none" w:sz="0" w:space="0" w:color="auto"/>
        <w:bottom w:val="none" w:sz="0" w:space="0" w:color="auto"/>
        <w:right w:val="none" w:sz="0" w:space="0" w:color="auto"/>
      </w:divBdr>
    </w:div>
    <w:div w:id="110708843">
      <w:bodyDiv w:val="1"/>
      <w:marLeft w:val="0"/>
      <w:marRight w:val="0"/>
      <w:marTop w:val="0"/>
      <w:marBottom w:val="0"/>
      <w:divBdr>
        <w:top w:val="none" w:sz="0" w:space="0" w:color="auto"/>
        <w:left w:val="none" w:sz="0" w:space="0" w:color="auto"/>
        <w:bottom w:val="none" w:sz="0" w:space="0" w:color="auto"/>
        <w:right w:val="none" w:sz="0" w:space="0" w:color="auto"/>
      </w:divBdr>
    </w:div>
    <w:div w:id="126897055">
      <w:bodyDiv w:val="1"/>
      <w:marLeft w:val="0"/>
      <w:marRight w:val="0"/>
      <w:marTop w:val="0"/>
      <w:marBottom w:val="0"/>
      <w:divBdr>
        <w:top w:val="none" w:sz="0" w:space="0" w:color="auto"/>
        <w:left w:val="none" w:sz="0" w:space="0" w:color="auto"/>
        <w:bottom w:val="none" w:sz="0" w:space="0" w:color="auto"/>
        <w:right w:val="none" w:sz="0" w:space="0" w:color="auto"/>
      </w:divBdr>
    </w:div>
    <w:div w:id="341050738">
      <w:bodyDiv w:val="1"/>
      <w:marLeft w:val="0"/>
      <w:marRight w:val="0"/>
      <w:marTop w:val="0"/>
      <w:marBottom w:val="0"/>
      <w:divBdr>
        <w:top w:val="none" w:sz="0" w:space="0" w:color="auto"/>
        <w:left w:val="none" w:sz="0" w:space="0" w:color="auto"/>
        <w:bottom w:val="none" w:sz="0" w:space="0" w:color="auto"/>
        <w:right w:val="none" w:sz="0" w:space="0" w:color="auto"/>
      </w:divBdr>
    </w:div>
    <w:div w:id="475994923">
      <w:bodyDiv w:val="1"/>
      <w:marLeft w:val="0"/>
      <w:marRight w:val="0"/>
      <w:marTop w:val="0"/>
      <w:marBottom w:val="0"/>
      <w:divBdr>
        <w:top w:val="none" w:sz="0" w:space="0" w:color="auto"/>
        <w:left w:val="none" w:sz="0" w:space="0" w:color="auto"/>
        <w:bottom w:val="none" w:sz="0" w:space="0" w:color="auto"/>
        <w:right w:val="none" w:sz="0" w:space="0" w:color="auto"/>
      </w:divBdr>
    </w:div>
    <w:div w:id="645937169">
      <w:bodyDiv w:val="1"/>
      <w:marLeft w:val="0"/>
      <w:marRight w:val="0"/>
      <w:marTop w:val="0"/>
      <w:marBottom w:val="0"/>
      <w:divBdr>
        <w:top w:val="none" w:sz="0" w:space="0" w:color="auto"/>
        <w:left w:val="none" w:sz="0" w:space="0" w:color="auto"/>
        <w:bottom w:val="none" w:sz="0" w:space="0" w:color="auto"/>
        <w:right w:val="none" w:sz="0" w:space="0" w:color="auto"/>
      </w:divBdr>
    </w:div>
    <w:div w:id="688528605">
      <w:bodyDiv w:val="1"/>
      <w:marLeft w:val="0"/>
      <w:marRight w:val="0"/>
      <w:marTop w:val="0"/>
      <w:marBottom w:val="0"/>
      <w:divBdr>
        <w:top w:val="none" w:sz="0" w:space="0" w:color="auto"/>
        <w:left w:val="none" w:sz="0" w:space="0" w:color="auto"/>
        <w:bottom w:val="none" w:sz="0" w:space="0" w:color="auto"/>
        <w:right w:val="none" w:sz="0" w:space="0" w:color="auto"/>
      </w:divBdr>
    </w:div>
    <w:div w:id="789085365">
      <w:bodyDiv w:val="1"/>
      <w:marLeft w:val="0"/>
      <w:marRight w:val="0"/>
      <w:marTop w:val="0"/>
      <w:marBottom w:val="0"/>
      <w:divBdr>
        <w:top w:val="none" w:sz="0" w:space="0" w:color="auto"/>
        <w:left w:val="none" w:sz="0" w:space="0" w:color="auto"/>
        <w:bottom w:val="none" w:sz="0" w:space="0" w:color="auto"/>
        <w:right w:val="none" w:sz="0" w:space="0" w:color="auto"/>
      </w:divBdr>
    </w:div>
    <w:div w:id="978650847">
      <w:bodyDiv w:val="1"/>
      <w:marLeft w:val="0"/>
      <w:marRight w:val="0"/>
      <w:marTop w:val="0"/>
      <w:marBottom w:val="0"/>
      <w:divBdr>
        <w:top w:val="none" w:sz="0" w:space="0" w:color="auto"/>
        <w:left w:val="none" w:sz="0" w:space="0" w:color="auto"/>
        <w:bottom w:val="none" w:sz="0" w:space="0" w:color="auto"/>
        <w:right w:val="none" w:sz="0" w:space="0" w:color="auto"/>
      </w:divBdr>
    </w:div>
    <w:div w:id="1032654584">
      <w:bodyDiv w:val="1"/>
      <w:marLeft w:val="0"/>
      <w:marRight w:val="0"/>
      <w:marTop w:val="0"/>
      <w:marBottom w:val="0"/>
      <w:divBdr>
        <w:top w:val="none" w:sz="0" w:space="0" w:color="auto"/>
        <w:left w:val="none" w:sz="0" w:space="0" w:color="auto"/>
        <w:bottom w:val="none" w:sz="0" w:space="0" w:color="auto"/>
        <w:right w:val="none" w:sz="0" w:space="0" w:color="auto"/>
      </w:divBdr>
    </w:div>
    <w:div w:id="1360662538">
      <w:bodyDiv w:val="1"/>
      <w:marLeft w:val="0"/>
      <w:marRight w:val="0"/>
      <w:marTop w:val="0"/>
      <w:marBottom w:val="0"/>
      <w:divBdr>
        <w:top w:val="none" w:sz="0" w:space="0" w:color="auto"/>
        <w:left w:val="none" w:sz="0" w:space="0" w:color="auto"/>
        <w:bottom w:val="none" w:sz="0" w:space="0" w:color="auto"/>
        <w:right w:val="none" w:sz="0" w:space="0" w:color="auto"/>
      </w:divBdr>
    </w:div>
    <w:div w:id="1466966319">
      <w:bodyDiv w:val="1"/>
      <w:marLeft w:val="0"/>
      <w:marRight w:val="0"/>
      <w:marTop w:val="0"/>
      <w:marBottom w:val="0"/>
      <w:divBdr>
        <w:top w:val="none" w:sz="0" w:space="0" w:color="auto"/>
        <w:left w:val="none" w:sz="0" w:space="0" w:color="auto"/>
        <w:bottom w:val="none" w:sz="0" w:space="0" w:color="auto"/>
        <w:right w:val="none" w:sz="0" w:space="0" w:color="auto"/>
      </w:divBdr>
      <w:divsChild>
        <w:div w:id="159078749">
          <w:marLeft w:val="0"/>
          <w:marRight w:val="0"/>
          <w:marTop w:val="0"/>
          <w:marBottom w:val="0"/>
          <w:divBdr>
            <w:top w:val="none" w:sz="0" w:space="0" w:color="auto"/>
            <w:left w:val="none" w:sz="0" w:space="0" w:color="auto"/>
            <w:bottom w:val="none" w:sz="0" w:space="0" w:color="auto"/>
            <w:right w:val="none" w:sz="0" w:space="0" w:color="auto"/>
          </w:divBdr>
        </w:div>
        <w:div w:id="1964770997">
          <w:marLeft w:val="0"/>
          <w:marRight w:val="0"/>
          <w:marTop w:val="0"/>
          <w:marBottom w:val="0"/>
          <w:divBdr>
            <w:top w:val="none" w:sz="0" w:space="0" w:color="auto"/>
            <w:left w:val="none" w:sz="0" w:space="0" w:color="auto"/>
            <w:bottom w:val="none" w:sz="0" w:space="0" w:color="auto"/>
            <w:right w:val="none" w:sz="0" w:space="0" w:color="auto"/>
          </w:divBdr>
        </w:div>
        <w:div w:id="1228107882">
          <w:marLeft w:val="0"/>
          <w:marRight w:val="0"/>
          <w:marTop w:val="0"/>
          <w:marBottom w:val="0"/>
          <w:divBdr>
            <w:top w:val="none" w:sz="0" w:space="0" w:color="auto"/>
            <w:left w:val="none" w:sz="0" w:space="0" w:color="auto"/>
            <w:bottom w:val="none" w:sz="0" w:space="0" w:color="auto"/>
            <w:right w:val="none" w:sz="0" w:space="0" w:color="auto"/>
          </w:divBdr>
        </w:div>
        <w:div w:id="872889986">
          <w:marLeft w:val="0"/>
          <w:marRight w:val="0"/>
          <w:marTop w:val="0"/>
          <w:marBottom w:val="0"/>
          <w:divBdr>
            <w:top w:val="none" w:sz="0" w:space="0" w:color="auto"/>
            <w:left w:val="none" w:sz="0" w:space="0" w:color="auto"/>
            <w:bottom w:val="none" w:sz="0" w:space="0" w:color="auto"/>
            <w:right w:val="none" w:sz="0" w:space="0" w:color="auto"/>
          </w:divBdr>
        </w:div>
        <w:div w:id="683021939">
          <w:marLeft w:val="0"/>
          <w:marRight w:val="0"/>
          <w:marTop w:val="0"/>
          <w:marBottom w:val="0"/>
          <w:divBdr>
            <w:top w:val="none" w:sz="0" w:space="0" w:color="auto"/>
            <w:left w:val="none" w:sz="0" w:space="0" w:color="auto"/>
            <w:bottom w:val="none" w:sz="0" w:space="0" w:color="auto"/>
            <w:right w:val="none" w:sz="0" w:space="0" w:color="auto"/>
          </w:divBdr>
        </w:div>
        <w:div w:id="1492331255">
          <w:marLeft w:val="0"/>
          <w:marRight w:val="0"/>
          <w:marTop w:val="0"/>
          <w:marBottom w:val="0"/>
          <w:divBdr>
            <w:top w:val="none" w:sz="0" w:space="0" w:color="auto"/>
            <w:left w:val="none" w:sz="0" w:space="0" w:color="auto"/>
            <w:bottom w:val="none" w:sz="0" w:space="0" w:color="auto"/>
            <w:right w:val="none" w:sz="0" w:space="0" w:color="auto"/>
          </w:divBdr>
        </w:div>
        <w:div w:id="1468937780">
          <w:marLeft w:val="0"/>
          <w:marRight w:val="0"/>
          <w:marTop w:val="0"/>
          <w:marBottom w:val="0"/>
          <w:divBdr>
            <w:top w:val="none" w:sz="0" w:space="0" w:color="auto"/>
            <w:left w:val="none" w:sz="0" w:space="0" w:color="auto"/>
            <w:bottom w:val="none" w:sz="0" w:space="0" w:color="auto"/>
            <w:right w:val="none" w:sz="0" w:space="0" w:color="auto"/>
          </w:divBdr>
        </w:div>
        <w:div w:id="2048682177">
          <w:marLeft w:val="0"/>
          <w:marRight w:val="0"/>
          <w:marTop w:val="0"/>
          <w:marBottom w:val="0"/>
          <w:divBdr>
            <w:top w:val="none" w:sz="0" w:space="0" w:color="auto"/>
            <w:left w:val="none" w:sz="0" w:space="0" w:color="auto"/>
            <w:bottom w:val="none" w:sz="0" w:space="0" w:color="auto"/>
            <w:right w:val="none" w:sz="0" w:space="0" w:color="auto"/>
          </w:divBdr>
        </w:div>
        <w:div w:id="1495367659">
          <w:marLeft w:val="0"/>
          <w:marRight w:val="0"/>
          <w:marTop w:val="0"/>
          <w:marBottom w:val="0"/>
          <w:divBdr>
            <w:top w:val="none" w:sz="0" w:space="0" w:color="auto"/>
            <w:left w:val="none" w:sz="0" w:space="0" w:color="auto"/>
            <w:bottom w:val="none" w:sz="0" w:space="0" w:color="auto"/>
            <w:right w:val="none" w:sz="0" w:space="0" w:color="auto"/>
          </w:divBdr>
        </w:div>
        <w:div w:id="147210587">
          <w:marLeft w:val="0"/>
          <w:marRight w:val="0"/>
          <w:marTop w:val="0"/>
          <w:marBottom w:val="0"/>
          <w:divBdr>
            <w:top w:val="none" w:sz="0" w:space="0" w:color="auto"/>
            <w:left w:val="none" w:sz="0" w:space="0" w:color="auto"/>
            <w:bottom w:val="none" w:sz="0" w:space="0" w:color="auto"/>
            <w:right w:val="none" w:sz="0" w:space="0" w:color="auto"/>
          </w:divBdr>
        </w:div>
        <w:div w:id="1660814751">
          <w:marLeft w:val="0"/>
          <w:marRight w:val="0"/>
          <w:marTop w:val="0"/>
          <w:marBottom w:val="0"/>
          <w:divBdr>
            <w:top w:val="none" w:sz="0" w:space="0" w:color="auto"/>
            <w:left w:val="none" w:sz="0" w:space="0" w:color="auto"/>
            <w:bottom w:val="none" w:sz="0" w:space="0" w:color="auto"/>
            <w:right w:val="none" w:sz="0" w:space="0" w:color="auto"/>
          </w:divBdr>
        </w:div>
        <w:div w:id="933174666">
          <w:marLeft w:val="0"/>
          <w:marRight w:val="0"/>
          <w:marTop w:val="0"/>
          <w:marBottom w:val="0"/>
          <w:divBdr>
            <w:top w:val="none" w:sz="0" w:space="0" w:color="auto"/>
            <w:left w:val="none" w:sz="0" w:space="0" w:color="auto"/>
            <w:bottom w:val="none" w:sz="0" w:space="0" w:color="auto"/>
            <w:right w:val="none" w:sz="0" w:space="0" w:color="auto"/>
          </w:divBdr>
        </w:div>
        <w:div w:id="1103914440">
          <w:marLeft w:val="0"/>
          <w:marRight w:val="0"/>
          <w:marTop w:val="0"/>
          <w:marBottom w:val="0"/>
          <w:divBdr>
            <w:top w:val="none" w:sz="0" w:space="0" w:color="auto"/>
            <w:left w:val="none" w:sz="0" w:space="0" w:color="auto"/>
            <w:bottom w:val="none" w:sz="0" w:space="0" w:color="auto"/>
            <w:right w:val="none" w:sz="0" w:space="0" w:color="auto"/>
          </w:divBdr>
        </w:div>
        <w:div w:id="1503736677">
          <w:marLeft w:val="0"/>
          <w:marRight w:val="0"/>
          <w:marTop w:val="0"/>
          <w:marBottom w:val="0"/>
          <w:divBdr>
            <w:top w:val="none" w:sz="0" w:space="0" w:color="auto"/>
            <w:left w:val="none" w:sz="0" w:space="0" w:color="auto"/>
            <w:bottom w:val="none" w:sz="0" w:space="0" w:color="auto"/>
            <w:right w:val="none" w:sz="0" w:space="0" w:color="auto"/>
          </w:divBdr>
        </w:div>
        <w:div w:id="1146048263">
          <w:marLeft w:val="0"/>
          <w:marRight w:val="0"/>
          <w:marTop w:val="0"/>
          <w:marBottom w:val="0"/>
          <w:divBdr>
            <w:top w:val="none" w:sz="0" w:space="0" w:color="auto"/>
            <w:left w:val="none" w:sz="0" w:space="0" w:color="auto"/>
            <w:bottom w:val="none" w:sz="0" w:space="0" w:color="auto"/>
            <w:right w:val="none" w:sz="0" w:space="0" w:color="auto"/>
          </w:divBdr>
        </w:div>
        <w:div w:id="1819881789">
          <w:marLeft w:val="0"/>
          <w:marRight w:val="0"/>
          <w:marTop w:val="0"/>
          <w:marBottom w:val="0"/>
          <w:divBdr>
            <w:top w:val="none" w:sz="0" w:space="0" w:color="auto"/>
            <w:left w:val="none" w:sz="0" w:space="0" w:color="auto"/>
            <w:bottom w:val="none" w:sz="0" w:space="0" w:color="auto"/>
            <w:right w:val="none" w:sz="0" w:space="0" w:color="auto"/>
          </w:divBdr>
        </w:div>
        <w:div w:id="254677137">
          <w:marLeft w:val="0"/>
          <w:marRight w:val="0"/>
          <w:marTop w:val="0"/>
          <w:marBottom w:val="0"/>
          <w:divBdr>
            <w:top w:val="none" w:sz="0" w:space="0" w:color="auto"/>
            <w:left w:val="none" w:sz="0" w:space="0" w:color="auto"/>
            <w:bottom w:val="none" w:sz="0" w:space="0" w:color="auto"/>
            <w:right w:val="none" w:sz="0" w:space="0" w:color="auto"/>
          </w:divBdr>
        </w:div>
        <w:div w:id="642924778">
          <w:marLeft w:val="0"/>
          <w:marRight w:val="0"/>
          <w:marTop w:val="0"/>
          <w:marBottom w:val="0"/>
          <w:divBdr>
            <w:top w:val="none" w:sz="0" w:space="0" w:color="auto"/>
            <w:left w:val="none" w:sz="0" w:space="0" w:color="auto"/>
            <w:bottom w:val="none" w:sz="0" w:space="0" w:color="auto"/>
            <w:right w:val="none" w:sz="0" w:space="0" w:color="auto"/>
          </w:divBdr>
        </w:div>
        <w:div w:id="1734616656">
          <w:marLeft w:val="0"/>
          <w:marRight w:val="0"/>
          <w:marTop w:val="0"/>
          <w:marBottom w:val="0"/>
          <w:divBdr>
            <w:top w:val="none" w:sz="0" w:space="0" w:color="auto"/>
            <w:left w:val="none" w:sz="0" w:space="0" w:color="auto"/>
            <w:bottom w:val="none" w:sz="0" w:space="0" w:color="auto"/>
            <w:right w:val="none" w:sz="0" w:space="0" w:color="auto"/>
          </w:divBdr>
        </w:div>
        <w:div w:id="1430353334">
          <w:marLeft w:val="0"/>
          <w:marRight w:val="0"/>
          <w:marTop w:val="0"/>
          <w:marBottom w:val="0"/>
          <w:divBdr>
            <w:top w:val="none" w:sz="0" w:space="0" w:color="auto"/>
            <w:left w:val="none" w:sz="0" w:space="0" w:color="auto"/>
            <w:bottom w:val="none" w:sz="0" w:space="0" w:color="auto"/>
            <w:right w:val="none" w:sz="0" w:space="0" w:color="auto"/>
          </w:divBdr>
        </w:div>
        <w:div w:id="1683698746">
          <w:marLeft w:val="0"/>
          <w:marRight w:val="0"/>
          <w:marTop w:val="0"/>
          <w:marBottom w:val="0"/>
          <w:divBdr>
            <w:top w:val="none" w:sz="0" w:space="0" w:color="auto"/>
            <w:left w:val="none" w:sz="0" w:space="0" w:color="auto"/>
            <w:bottom w:val="none" w:sz="0" w:space="0" w:color="auto"/>
            <w:right w:val="none" w:sz="0" w:space="0" w:color="auto"/>
          </w:divBdr>
        </w:div>
        <w:div w:id="820731539">
          <w:marLeft w:val="0"/>
          <w:marRight w:val="0"/>
          <w:marTop w:val="0"/>
          <w:marBottom w:val="0"/>
          <w:divBdr>
            <w:top w:val="none" w:sz="0" w:space="0" w:color="auto"/>
            <w:left w:val="none" w:sz="0" w:space="0" w:color="auto"/>
            <w:bottom w:val="none" w:sz="0" w:space="0" w:color="auto"/>
            <w:right w:val="none" w:sz="0" w:space="0" w:color="auto"/>
          </w:divBdr>
        </w:div>
        <w:div w:id="1130711098">
          <w:marLeft w:val="0"/>
          <w:marRight w:val="0"/>
          <w:marTop w:val="0"/>
          <w:marBottom w:val="0"/>
          <w:divBdr>
            <w:top w:val="none" w:sz="0" w:space="0" w:color="auto"/>
            <w:left w:val="none" w:sz="0" w:space="0" w:color="auto"/>
            <w:bottom w:val="none" w:sz="0" w:space="0" w:color="auto"/>
            <w:right w:val="none" w:sz="0" w:space="0" w:color="auto"/>
          </w:divBdr>
        </w:div>
        <w:div w:id="1842239261">
          <w:marLeft w:val="0"/>
          <w:marRight w:val="0"/>
          <w:marTop w:val="0"/>
          <w:marBottom w:val="0"/>
          <w:divBdr>
            <w:top w:val="none" w:sz="0" w:space="0" w:color="auto"/>
            <w:left w:val="none" w:sz="0" w:space="0" w:color="auto"/>
            <w:bottom w:val="none" w:sz="0" w:space="0" w:color="auto"/>
            <w:right w:val="none" w:sz="0" w:space="0" w:color="auto"/>
          </w:divBdr>
        </w:div>
        <w:div w:id="632560648">
          <w:marLeft w:val="0"/>
          <w:marRight w:val="0"/>
          <w:marTop w:val="0"/>
          <w:marBottom w:val="0"/>
          <w:divBdr>
            <w:top w:val="none" w:sz="0" w:space="0" w:color="auto"/>
            <w:left w:val="none" w:sz="0" w:space="0" w:color="auto"/>
            <w:bottom w:val="none" w:sz="0" w:space="0" w:color="auto"/>
            <w:right w:val="none" w:sz="0" w:space="0" w:color="auto"/>
          </w:divBdr>
        </w:div>
        <w:div w:id="1985699339">
          <w:marLeft w:val="0"/>
          <w:marRight w:val="0"/>
          <w:marTop w:val="0"/>
          <w:marBottom w:val="0"/>
          <w:divBdr>
            <w:top w:val="none" w:sz="0" w:space="0" w:color="auto"/>
            <w:left w:val="none" w:sz="0" w:space="0" w:color="auto"/>
            <w:bottom w:val="none" w:sz="0" w:space="0" w:color="auto"/>
            <w:right w:val="none" w:sz="0" w:space="0" w:color="auto"/>
          </w:divBdr>
        </w:div>
        <w:div w:id="2059627016">
          <w:marLeft w:val="0"/>
          <w:marRight w:val="0"/>
          <w:marTop w:val="0"/>
          <w:marBottom w:val="0"/>
          <w:divBdr>
            <w:top w:val="none" w:sz="0" w:space="0" w:color="auto"/>
            <w:left w:val="none" w:sz="0" w:space="0" w:color="auto"/>
            <w:bottom w:val="none" w:sz="0" w:space="0" w:color="auto"/>
            <w:right w:val="none" w:sz="0" w:space="0" w:color="auto"/>
          </w:divBdr>
        </w:div>
        <w:div w:id="1630238661">
          <w:marLeft w:val="0"/>
          <w:marRight w:val="0"/>
          <w:marTop w:val="0"/>
          <w:marBottom w:val="0"/>
          <w:divBdr>
            <w:top w:val="none" w:sz="0" w:space="0" w:color="auto"/>
            <w:left w:val="none" w:sz="0" w:space="0" w:color="auto"/>
            <w:bottom w:val="none" w:sz="0" w:space="0" w:color="auto"/>
            <w:right w:val="none" w:sz="0" w:space="0" w:color="auto"/>
          </w:divBdr>
        </w:div>
        <w:div w:id="1732314764">
          <w:marLeft w:val="0"/>
          <w:marRight w:val="0"/>
          <w:marTop w:val="0"/>
          <w:marBottom w:val="0"/>
          <w:divBdr>
            <w:top w:val="none" w:sz="0" w:space="0" w:color="auto"/>
            <w:left w:val="none" w:sz="0" w:space="0" w:color="auto"/>
            <w:bottom w:val="none" w:sz="0" w:space="0" w:color="auto"/>
            <w:right w:val="none" w:sz="0" w:space="0" w:color="auto"/>
          </w:divBdr>
        </w:div>
        <w:div w:id="569191295">
          <w:marLeft w:val="0"/>
          <w:marRight w:val="0"/>
          <w:marTop w:val="0"/>
          <w:marBottom w:val="0"/>
          <w:divBdr>
            <w:top w:val="none" w:sz="0" w:space="0" w:color="auto"/>
            <w:left w:val="none" w:sz="0" w:space="0" w:color="auto"/>
            <w:bottom w:val="none" w:sz="0" w:space="0" w:color="auto"/>
            <w:right w:val="none" w:sz="0" w:space="0" w:color="auto"/>
          </w:divBdr>
        </w:div>
        <w:div w:id="760757149">
          <w:marLeft w:val="0"/>
          <w:marRight w:val="0"/>
          <w:marTop w:val="0"/>
          <w:marBottom w:val="0"/>
          <w:divBdr>
            <w:top w:val="none" w:sz="0" w:space="0" w:color="auto"/>
            <w:left w:val="none" w:sz="0" w:space="0" w:color="auto"/>
            <w:bottom w:val="none" w:sz="0" w:space="0" w:color="auto"/>
            <w:right w:val="none" w:sz="0" w:space="0" w:color="auto"/>
          </w:divBdr>
        </w:div>
        <w:div w:id="21131682">
          <w:marLeft w:val="0"/>
          <w:marRight w:val="0"/>
          <w:marTop w:val="0"/>
          <w:marBottom w:val="0"/>
          <w:divBdr>
            <w:top w:val="none" w:sz="0" w:space="0" w:color="auto"/>
            <w:left w:val="none" w:sz="0" w:space="0" w:color="auto"/>
            <w:bottom w:val="none" w:sz="0" w:space="0" w:color="auto"/>
            <w:right w:val="none" w:sz="0" w:space="0" w:color="auto"/>
          </w:divBdr>
        </w:div>
        <w:div w:id="2020696946">
          <w:marLeft w:val="0"/>
          <w:marRight w:val="0"/>
          <w:marTop w:val="0"/>
          <w:marBottom w:val="0"/>
          <w:divBdr>
            <w:top w:val="none" w:sz="0" w:space="0" w:color="auto"/>
            <w:left w:val="none" w:sz="0" w:space="0" w:color="auto"/>
            <w:bottom w:val="none" w:sz="0" w:space="0" w:color="auto"/>
            <w:right w:val="none" w:sz="0" w:space="0" w:color="auto"/>
          </w:divBdr>
        </w:div>
        <w:div w:id="959724579">
          <w:marLeft w:val="0"/>
          <w:marRight w:val="0"/>
          <w:marTop w:val="0"/>
          <w:marBottom w:val="0"/>
          <w:divBdr>
            <w:top w:val="none" w:sz="0" w:space="0" w:color="auto"/>
            <w:left w:val="none" w:sz="0" w:space="0" w:color="auto"/>
            <w:bottom w:val="none" w:sz="0" w:space="0" w:color="auto"/>
            <w:right w:val="none" w:sz="0" w:space="0" w:color="auto"/>
          </w:divBdr>
        </w:div>
        <w:div w:id="874660084">
          <w:marLeft w:val="0"/>
          <w:marRight w:val="0"/>
          <w:marTop w:val="0"/>
          <w:marBottom w:val="0"/>
          <w:divBdr>
            <w:top w:val="none" w:sz="0" w:space="0" w:color="auto"/>
            <w:left w:val="none" w:sz="0" w:space="0" w:color="auto"/>
            <w:bottom w:val="none" w:sz="0" w:space="0" w:color="auto"/>
            <w:right w:val="none" w:sz="0" w:space="0" w:color="auto"/>
          </w:divBdr>
        </w:div>
        <w:div w:id="1988625457">
          <w:marLeft w:val="0"/>
          <w:marRight w:val="0"/>
          <w:marTop w:val="0"/>
          <w:marBottom w:val="0"/>
          <w:divBdr>
            <w:top w:val="none" w:sz="0" w:space="0" w:color="auto"/>
            <w:left w:val="none" w:sz="0" w:space="0" w:color="auto"/>
            <w:bottom w:val="none" w:sz="0" w:space="0" w:color="auto"/>
            <w:right w:val="none" w:sz="0" w:space="0" w:color="auto"/>
          </w:divBdr>
        </w:div>
      </w:divsChild>
    </w:div>
    <w:div w:id="1482962442">
      <w:bodyDiv w:val="1"/>
      <w:marLeft w:val="0"/>
      <w:marRight w:val="0"/>
      <w:marTop w:val="0"/>
      <w:marBottom w:val="0"/>
      <w:divBdr>
        <w:top w:val="none" w:sz="0" w:space="0" w:color="auto"/>
        <w:left w:val="none" w:sz="0" w:space="0" w:color="auto"/>
        <w:bottom w:val="none" w:sz="0" w:space="0" w:color="auto"/>
        <w:right w:val="none" w:sz="0" w:space="0" w:color="auto"/>
      </w:divBdr>
    </w:div>
    <w:div w:id="1523515617">
      <w:bodyDiv w:val="1"/>
      <w:marLeft w:val="0"/>
      <w:marRight w:val="0"/>
      <w:marTop w:val="0"/>
      <w:marBottom w:val="0"/>
      <w:divBdr>
        <w:top w:val="none" w:sz="0" w:space="0" w:color="auto"/>
        <w:left w:val="none" w:sz="0" w:space="0" w:color="auto"/>
        <w:bottom w:val="none" w:sz="0" w:space="0" w:color="auto"/>
        <w:right w:val="none" w:sz="0" w:space="0" w:color="auto"/>
      </w:divBdr>
    </w:div>
    <w:div w:id="1766806301">
      <w:bodyDiv w:val="1"/>
      <w:marLeft w:val="0"/>
      <w:marRight w:val="0"/>
      <w:marTop w:val="0"/>
      <w:marBottom w:val="0"/>
      <w:divBdr>
        <w:top w:val="none" w:sz="0" w:space="0" w:color="auto"/>
        <w:left w:val="none" w:sz="0" w:space="0" w:color="auto"/>
        <w:bottom w:val="none" w:sz="0" w:space="0" w:color="auto"/>
        <w:right w:val="none" w:sz="0" w:space="0" w:color="auto"/>
      </w:divBdr>
    </w:div>
    <w:div w:id="1795562554">
      <w:bodyDiv w:val="1"/>
      <w:marLeft w:val="0"/>
      <w:marRight w:val="0"/>
      <w:marTop w:val="0"/>
      <w:marBottom w:val="0"/>
      <w:divBdr>
        <w:top w:val="none" w:sz="0" w:space="0" w:color="auto"/>
        <w:left w:val="none" w:sz="0" w:space="0" w:color="auto"/>
        <w:bottom w:val="none" w:sz="0" w:space="0" w:color="auto"/>
        <w:right w:val="none" w:sz="0" w:space="0" w:color="auto"/>
      </w:divBdr>
    </w:div>
    <w:div w:id="1841309360">
      <w:bodyDiv w:val="1"/>
      <w:marLeft w:val="0"/>
      <w:marRight w:val="0"/>
      <w:marTop w:val="0"/>
      <w:marBottom w:val="0"/>
      <w:divBdr>
        <w:top w:val="none" w:sz="0" w:space="0" w:color="auto"/>
        <w:left w:val="none" w:sz="0" w:space="0" w:color="auto"/>
        <w:bottom w:val="none" w:sz="0" w:space="0" w:color="auto"/>
        <w:right w:val="none" w:sz="0" w:space="0" w:color="auto"/>
      </w:divBdr>
    </w:div>
    <w:div w:id="1881355262">
      <w:bodyDiv w:val="1"/>
      <w:marLeft w:val="0"/>
      <w:marRight w:val="0"/>
      <w:marTop w:val="0"/>
      <w:marBottom w:val="0"/>
      <w:divBdr>
        <w:top w:val="none" w:sz="0" w:space="0" w:color="auto"/>
        <w:left w:val="none" w:sz="0" w:space="0" w:color="auto"/>
        <w:bottom w:val="none" w:sz="0" w:space="0" w:color="auto"/>
        <w:right w:val="none" w:sz="0" w:space="0" w:color="auto"/>
      </w:divBdr>
    </w:div>
    <w:div w:id="1971351508">
      <w:bodyDiv w:val="1"/>
      <w:marLeft w:val="0"/>
      <w:marRight w:val="0"/>
      <w:marTop w:val="0"/>
      <w:marBottom w:val="0"/>
      <w:divBdr>
        <w:top w:val="none" w:sz="0" w:space="0" w:color="auto"/>
        <w:left w:val="none" w:sz="0" w:space="0" w:color="auto"/>
        <w:bottom w:val="none" w:sz="0" w:space="0" w:color="auto"/>
        <w:right w:val="none" w:sz="0" w:space="0" w:color="auto"/>
      </w:divBdr>
    </w:div>
    <w:div w:id="2087145811">
      <w:bodyDiv w:val="1"/>
      <w:marLeft w:val="0"/>
      <w:marRight w:val="0"/>
      <w:marTop w:val="0"/>
      <w:marBottom w:val="0"/>
      <w:divBdr>
        <w:top w:val="none" w:sz="0" w:space="0" w:color="auto"/>
        <w:left w:val="none" w:sz="0" w:space="0" w:color="auto"/>
        <w:bottom w:val="none" w:sz="0" w:space="0" w:color="auto"/>
        <w:right w:val="none" w:sz="0" w:space="0" w:color="auto"/>
      </w:divBdr>
    </w:div>
    <w:div w:id="213845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ONEF\ONEF2\Etudes%20%202018\Manque%20Mondiale1\R&#233;sultats\Tableaux%20nouvelle%20form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ONEF\ONEF2\Etudes%20%202018\Manque%20Mondiale1\R&#233;sultats\Classeur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ONEF\ONEF2\Etudes%20%202018\Manque%20Mondiale1\R&#233;sultats\Tableaux%20nouvelle%20for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Feuil1!$K$4</c:f>
              <c:strCache>
                <c:ptCount val="1"/>
                <c:pt idx="0">
                  <c:v>emploi</c:v>
                </c:pt>
              </c:strCache>
            </c:strRef>
          </c:tx>
          <c:spPr>
            <a:solidFill>
              <a:schemeClr val="accent1"/>
            </a:solidFill>
            <a:ln>
              <a:noFill/>
            </a:ln>
            <a:effectLst/>
          </c:spPr>
          <c:dLbls>
            <c:dLbl>
              <c:idx val="0"/>
              <c:layout>
                <c:manualLayout>
                  <c:x val="1.0195758564437185E-2"/>
                  <c:y val="-3.91006842619745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46-47BB-8198-97813E8AF62F}"/>
                </c:ext>
              </c:extLst>
            </c:dLbl>
            <c:dLbl>
              <c:idx val="4"/>
              <c:layout>
                <c:manualLayout>
                  <c:x val="-1.2234910277324783E-2"/>
                  <c:y val="-1.4336751943342161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97-4F1C-AE40-5624CA4B5B6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Feuil1!$L$3:$P$3</c:f>
              <c:numCache>
                <c:formatCode>General</c:formatCode>
                <c:ptCount val="5"/>
                <c:pt idx="0">
                  <c:v>2013</c:v>
                </c:pt>
                <c:pt idx="1">
                  <c:v>2014</c:v>
                </c:pt>
                <c:pt idx="2">
                  <c:v>2015</c:v>
                </c:pt>
                <c:pt idx="3">
                  <c:v>2016</c:v>
                </c:pt>
                <c:pt idx="4">
                  <c:v>2017</c:v>
                </c:pt>
              </c:numCache>
            </c:numRef>
          </c:cat>
          <c:val>
            <c:numRef>
              <c:f>Feuil1!$L$4:$P$4</c:f>
              <c:numCache>
                <c:formatCode>0.0</c:formatCode>
                <c:ptCount val="5"/>
                <c:pt idx="0">
                  <c:v>62.9</c:v>
                </c:pt>
                <c:pt idx="1">
                  <c:v>54.8</c:v>
                </c:pt>
                <c:pt idx="2">
                  <c:v>47.9</c:v>
                </c:pt>
                <c:pt idx="3">
                  <c:v>43.1</c:v>
                </c:pt>
                <c:pt idx="4">
                  <c:v>47.3</c:v>
                </c:pt>
              </c:numCache>
            </c:numRef>
          </c:val>
          <c:extLst>
            <c:ext xmlns:c16="http://schemas.microsoft.com/office/drawing/2014/chart" uri="{C3380CC4-5D6E-409C-BE32-E72D297353CC}">
              <c16:uniqueId val="{00000000-D14E-4756-8A36-86240F50A11B}"/>
            </c:ext>
          </c:extLst>
        </c:ser>
        <c:ser>
          <c:idx val="1"/>
          <c:order val="1"/>
          <c:tx>
            <c:strRef>
              <c:f>Feuil1!$K$5</c:f>
              <c:strCache>
                <c:ptCount val="1"/>
                <c:pt idx="0">
                  <c:v>Chômage</c:v>
                </c:pt>
              </c:strCache>
            </c:strRef>
          </c:tx>
          <c:spPr>
            <a:solidFill>
              <a:schemeClr val="accent2"/>
            </a:solidFill>
            <a:ln>
              <a:noFill/>
            </a:ln>
            <a:effectLst/>
          </c:spPr>
          <c:dLbls>
            <c:dLbl>
              <c:idx val="0"/>
              <c:layout>
                <c:manualLayout>
                  <c:x val="1.01957585644371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46-47BB-8198-97813E8AF62F}"/>
                </c:ext>
              </c:extLst>
            </c:dLbl>
            <c:dLbl>
              <c:idx val="4"/>
              <c:layout>
                <c:manualLayout>
                  <c:x val="-1.01957585644371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97-4F1C-AE40-5624CA4B5B6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Feuil1!$L$3:$P$3</c:f>
              <c:numCache>
                <c:formatCode>General</c:formatCode>
                <c:ptCount val="5"/>
                <c:pt idx="0">
                  <c:v>2013</c:v>
                </c:pt>
                <c:pt idx="1">
                  <c:v>2014</c:v>
                </c:pt>
                <c:pt idx="2">
                  <c:v>2015</c:v>
                </c:pt>
                <c:pt idx="3">
                  <c:v>2016</c:v>
                </c:pt>
                <c:pt idx="4">
                  <c:v>2017</c:v>
                </c:pt>
              </c:numCache>
            </c:numRef>
          </c:cat>
          <c:val>
            <c:numRef>
              <c:f>Feuil1!$L$5:$P$5</c:f>
              <c:numCache>
                <c:formatCode>0.0</c:formatCode>
                <c:ptCount val="5"/>
                <c:pt idx="0">
                  <c:v>9.5</c:v>
                </c:pt>
                <c:pt idx="1">
                  <c:v>11.1</c:v>
                </c:pt>
                <c:pt idx="2">
                  <c:v>22.5</c:v>
                </c:pt>
                <c:pt idx="3">
                  <c:v>30.4</c:v>
                </c:pt>
                <c:pt idx="4">
                  <c:v>21.9</c:v>
                </c:pt>
              </c:numCache>
            </c:numRef>
          </c:val>
          <c:extLst>
            <c:ext xmlns:c16="http://schemas.microsoft.com/office/drawing/2014/chart" uri="{C3380CC4-5D6E-409C-BE32-E72D297353CC}">
              <c16:uniqueId val="{00000001-D14E-4756-8A36-86240F50A11B}"/>
            </c:ext>
          </c:extLst>
        </c:ser>
        <c:ser>
          <c:idx val="2"/>
          <c:order val="2"/>
          <c:tx>
            <c:strRef>
              <c:f>Feuil1!$K$6</c:f>
              <c:strCache>
                <c:ptCount val="1"/>
                <c:pt idx="0">
                  <c:v>Sous-emploi</c:v>
                </c:pt>
              </c:strCache>
            </c:strRef>
          </c:tx>
          <c:spPr>
            <a:solidFill>
              <a:schemeClr val="accent3"/>
            </a:solidFill>
            <a:ln>
              <a:noFill/>
            </a:ln>
            <a:effectLst/>
          </c:spPr>
          <c:dLbls>
            <c:dLbl>
              <c:idx val="0"/>
              <c:layout>
                <c:manualLayout>
                  <c:x val="1.01957585644371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46-47BB-8198-97813E8AF62F}"/>
                </c:ext>
              </c:extLst>
            </c:dLbl>
            <c:dLbl>
              <c:idx val="4"/>
              <c:layout>
                <c:manualLayout>
                  <c:x val="-1.223491027732478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97-4F1C-AE40-5624CA4B5B6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Feuil1!$L$3:$P$3</c:f>
              <c:numCache>
                <c:formatCode>General</c:formatCode>
                <c:ptCount val="5"/>
                <c:pt idx="0">
                  <c:v>2013</c:v>
                </c:pt>
                <c:pt idx="1">
                  <c:v>2014</c:v>
                </c:pt>
                <c:pt idx="2">
                  <c:v>2015</c:v>
                </c:pt>
                <c:pt idx="3">
                  <c:v>2016</c:v>
                </c:pt>
                <c:pt idx="4">
                  <c:v>2017</c:v>
                </c:pt>
              </c:numCache>
            </c:numRef>
          </c:cat>
          <c:val>
            <c:numRef>
              <c:f>Feuil1!$L$6:$P$6</c:f>
              <c:numCache>
                <c:formatCode>0.0</c:formatCode>
                <c:ptCount val="5"/>
                <c:pt idx="0">
                  <c:v>12.5</c:v>
                </c:pt>
                <c:pt idx="1">
                  <c:v>11.4</c:v>
                </c:pt>
                <c:pt idx="2">
                  <c:v>9.9</c:v>
                </c:pt>
                <c:pt idx="3">
                  <c:v>12.4</c:v>
                </c:pt>
                <c:pt idx="4">
                  <c:v>11.5</c:v>
                </c:pt>
              </c:numCache>
            </c:numRef>
          </c:val>
          <c:extLst>
            <c:ext xmlns:c16="http://schemas.microsoft.com/office/drawing/2014/chart" uri="{C3380CC4-5D6E-409C-BE32-E72D297353CC}">
              <c16:uniqueId val="{00000002-D14E-4756-8A36-86240F50A11B}"/>
            </c:ext>
          </c:extLst>
        </c:ser>
        <c:ser>
          <c:idx val="3"/>
          <c:order val="3"/>
          <c:tx>
            <c:strRef>
              <c:f>Feuil1!$K$7</c:f>
              <c:strCache>
                <c:ptCount val="1"/>
                <c:pt idx="0">
                  <c:v>Inactivité</c:v>
                </c:pt>
              </c:strCache>
            </c:strRef>
          </c:tx>
          <c:spPr>
            <a:solidFill>
              <a:schemeClr val="accent4"/>
            </a:solidFill>
            <a:ln>
              <a:noFill/>
            </a:ln>
            <a:effectLst/>
          </c:spPr>
          <c:dLbls>
            <c:dLbl>
              <c:idx val="0"/>
              <c:layout>
                <c:manualLayout>
                  <c:x val="1.2234910277324634E-2"/>
                  <c:y val="-3.91006842619745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46-47BB-8198-97813E8AF62F}"/>
                </c:ext>
              </c:extLst>
            </c:dLbl>
            <c:dLbl>
              <c:idx val="4"/>
              <c:layout>
                <c:manualLayout>
                  <c:x val="-1.4274061990212071E-2"/>
                  <c:y val="3.584187985835540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97-4F1C-AE40-5624CA4B5B6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Feuil1!$L$3:$P$3</c:f>
              <c:numCache>
                <c:formatCode>General</c:formatCode>
                <c:ptCount val="5"/>
                <c:pt idx="0">
                  <c:v>2013</c:v>
                </c:pt>
                <c:pt idx="1">
                  <c:v>2014</c:v>
                </c:pt>
                <c:pt idx="2">
                  <c:v>2015</c:v>
                </c:pt>
                <c:pt idx="3">
                  <c:v>2016</c:v>
                </c:pt>
                <c:pt idx="4">
                  <c:v>2017</c:v>
                </c:pt>
              </c:numCache>
            </c:numRef>
          </c:cat>
          <c:val>
            <c:numRef>
              <c:f>Feuil1!$L$7:$P$7</c:f>
              <c:numCache>
                <c:formatCode>0.0</c:formatCode>
                <c:ptCount val="5"/>
                <c:pt idx="0">
                  <c:v>30.5</c:v>
                </c:pt>
                <c:pt idx="1">
                  <c:v>38.4</c:v>
                </c:pt>
                <c:pt idx="2">
                  <c:v>38.200000000000003</c:v>
                </c:pt>
                <c:pt idx="3">
                  <c:v>38.1</c:v>
                </c:pt>
                <c:pt idx="4">
                  <c:v>39.4</c:v>
                </c:pt>
              </c:numCache>
            </c:numRef>
          </c:val>
          <c:extLst>
            <c:ext xmlns:c16="http://schemas.microsoft.com/office/drawing/2014/chart" uri="{C3380CC4-5D6E-409C-BE32-E72D297353CC}">
              <c16:uniqueId val="{00000003-D14E-4756-8A36-86240F50A11B}"/>
            </c:ext>
          </c:extLst>
        </c:ser>
        <c:dLbls>
          <c:showLegendKey val="0"/>
          <c:showVal val="0"/>
          <c:showCatName val="0"/>
          <c:showSerName val="0"/>
          <c:showPercent val="0"/>
          <c:showBubbleSize val="0"/>
        </c:dLbls>
        <c:axId val="376120016"/>
        <c:axId val="376118928"/>
      </c:areaChart>
      <c:catAx>
        <c:axId val="3761200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76118928"/>
        <c:crosses val="autoZero"/>
        <c:auto val="1"/>
        <c:lblAlgn val="ctr"/>
        <c:lblOffset val="100"/>
        <c:noMultiLvlLbl val="0"/>
      </c:catAx>
      <c:valAx>
        <c:axId val="37611892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7612001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Feuil2!$H$3</c:f>
              <c:strCache>
                <c:ptCount val="1"/>
                <c:pt idx="0">
                  <c:v>15-19</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Feuil2!$I$1:$M$2</c:f>
              <c:strCache>
                <c:ptCount val="5"/>
                <c:pt idx="0">
                  <c:v>1976</c:v>
                </c:pt>
                <c:pt idx="1">
                  <c:v>1987</c:v>
                </c:pt>
                <c:pt idx="2">
                  <c:v>1998</c:v>
                </c:pt>
                <c:pt idx="3">
                  <c:v>2007</c:v>
                </c:pt>
                <c:pt idx="4">
                  <c:v>2016</c:v>
                </c:pt>
              </c:strCache>
            </c:strRef>
          </c:cat>
          <c:val>
            <c:numRef>
              <c:f>Feuil2!$I$3:$M$3</c:f>
              <c:numCache>
                <c:formatCode>General</c:formatCode>
                <c:ptCount val="5"/>
                <c:pt idx="0">
                  <c:v>9.6999999999999993</c:v>
                </c:pt>
                <c:pt idx="1">
                  <c:v>9.4</c:v>
                </c:pt>
                <c:pt idx="2">
                  <c:v>10.4</c:v>
                </c:pt>
                <c:pt idx="3" formatCode="0.0">
                  <c:v>8.0090442316142791</c:v>
                </c:pt>
                <c:pt idx="4" formatCode="###0.0">
                  <c:v>8.6537775959593741</c:v>
                </c:pt>
              </c:numCache>
            </c:numRef>
          </c:val>
          <c:smooth val="0"/>
          <c:extLst>
            <c:ext xmlns:c16="http://schemas.microsoft.com/office/drawing/2014/chart" uri="{C3380CC4-5D6E-409C-BE32-E72D297353CC}">
              <c16:uniqueId val="{00000000-8F06-4070-9A2E-980155FB4DB8}"/>
            </c:ext>
          </c:extLst>
        </c:ser>
        <c:ser>
          <c:idx val="1"/>
          <c:order val="1"/>
          <c:tx>
            <c:strRef>
              <c:f>Feuil2!$H$4</c:f>
              <c:strCache>
                <c:ptCount val="1"/>
                <c:pt idx="0">
                  <c:v>20-24</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Feuil2!$I$1:$M$2</c:f>
              <c:strCache>
                <c:ptCount val="5"/>
                <c:pt idx="0">
                  <c:v>1976</c:v>
                </c:pt>
                <c:pt idx="1">
                  <c:v>1987</c:v>
                </c:pt>
                <c:pt idx="2">
                  <c:v>1998</c:v>
                </c:pt>
                <c:pt idx="3">
                  <c:v>2007</c:v>
                </c:pt>
                <c:pt idx="4">
                  <c:v>2016</c:v>
                </c:pt>
              </c:strCache>
            </c:strRef>
          </c:cat>
          <c:val>
            <c:numRef>
              <c:f>Feuil2!$I$4:$M$4</c:f>
              <c:numCache>
                <c:formatCode>General</c:formatCode>
                <c:ptCount val="5"/>
                <c:pt idx="0">
                  <c:v>7.3</c:v>
                </c:pt>
                <c:pt idx="1">
                  <c:v>7.5</c:v>
                </c:pt>
                <c:pt idx="2">
                  <c:v>7.9</c:v>
                </c:pt>
                <c:pt idx="3" formatCode="0.0">
                  <c:v>6.5658370234574672</c:v>
                </c:pt>
                <c:pt idx="4" formatCode="###0.0">
                  <c:v>6.1935841312323934</c:v>
                </c:pt>
              </c:numCache>
            </c:numRef>
          </c:val>
          <c:smooth val="0"/>
          <c:extLst>
            <c:ext xmlns:c16="http://schemas.microsoft.com/office/drawing/2014/chart" uri="{C3380CC4-5D6E-409C-BE32-E72D297353CC}">
              <c16:uniqueId val="{00000001-8F06-4070-9A2E-980155FB4DB8}"/>
            </c:ext>
          </c:extLst>
        </c:ser>
        <c:ser>
          <c:idx val="2"/>
          <c:order val="2"/>
          <c:tx>
            <c:strRef>
              <c:f>Feuil2!$H$5</c:f>
              <c:strCache>
                <c:ptCount val="1"/>
                <c:pt idx="0">
                  <c:v>Total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Feuil2!$I$1:$M$2</c:f>
              <c:strCache>
                <c:ptCount val="5"/>
                <c:pt idx="0">
                  <c:v>1976</c:v>
                </c:pt>
                <c:pt idx="1">
                  <c:v>1987</c:v>
                </c:pt>
                <c:pt idx="2">
                  <c:v>1998</c:v>
                </c:pt>
                <c:pt idx="3">
                  <c:v>2007</c:v>
                </c:pt>
                <c:pt idx="4">
                  <c:v>2016</c:v>
                </c:pt>
              </c:strCache>
            </c:strRef>
          </c:cat>
          <c:val>
            <c:numRef>
              <c:f>Feuil2!$I$5:$M$5</c:f>
              <c:numCache>
                <c:formatCode>General</c:formatCode>
                <c:ptCount val="5"/>
                <c:pt idx="0">
                  <c:v>17.100000000000001</c:v>
                </c:pt>
                <c:pt idx="1">
                  <c:v>16.899999999999999</c:v>
                </c:pt>
                <c:pt idx="2">
                  <c:v>18.3</c:v>
                </c:pt>
                <c:pt idx="3" formatCode="0.0">
                  <c:v>14.574881255071748</c:v>
                </c:pt>
                <c:pt idx="4" formatCode="###0.0">
                  <c:v>14.847361727191767</c:v>
                </c:pt>
              </c:numCache>
            </c:numRef>
          </c:val>
          <c:smooth val="0"/>
          <c:extLst>
            <c:ext xmlns:c16="http://schemas.microsoft.com/office/drawing/2014/chart" uri="{C3380CC4-5D6E-409C-BE32-E72D297353CC}">
              <c16:uniqueId val="{00000002-8F06-4070-9A2E-980155FB4DB8}"/>
            </c:ext>
          </c:extLst>
        </c:ser>
        <c:dLbls>
          <c:showLegendKey val="0"/>
          <c:showVal val="0"/>
          <c:showCatName val="0"/>
          <c:showSerName val="0"/>
          <c:showPercent val="0"/>
          <c:showBubbleSize val="0"/>
        </c:dLbls>
        <c:marker val="1"/>
        <c:smooth val="0"/>
        <c:axId val="376121104"/>
        <c:axId val="402527344"/>
      </c:lineChart>
      <c:catAx>
        <c:axId val="37612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02527344"/>
        <c:crosses val="autoZero"/>
        <c:auto val="1"/>
        <c:lblAlgn val="ctr"/>
        <c:lblOffset val="100"/>
        <c:noMultiLvlLbl val="0"/>
      </c:catAx>
      <c:valAx>
        <c:axId val="4025273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7612110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Evolution_Zone_Résidence!$A$3</c:f>
              <c:strCache>
                <c:ptCount val="1"/>
                <c:pt idx="0">
                  <c:v>Emploi</c:v>
                </c:pt>
              </c:strCache>
            </c:strRef>
          </c:tx>
          <c:spPr>
            <a:solidFill>
              <a:schemeClr val="accent1"/>
            </a:solidFill>
            <a:ln>
              <a:noFill/>
            </a:ln>
            <a:effectLst/>
          </c:spPr>
          <c:invertIfNegative val="0"/>
          <c:cat>
            <c:multiLvlStrRef>
              <c:f>Evolution_Zone_Résidence!$B$1:$P$2</c:f>
              <c:multiLvlStrCache>
                <c:ptCount val="15"/>
                <c:lvl>
                  <c:pt idx="0">
                    <c:v>Bamako</c:v>
                  </c:pt>
                  <c:pt idx="1">
                    <c:v>Autre urbain</c:v>
                  </c:pt>
                  <c:pt idx="2">
                    <c:v>Rural</c:v>
                  </c:pt>
                  <c:pt idx="3">
                    <c:v>Bamako</c:v>
                  </c:pt>
                  <c:pt idx="4">
                    <c:v>Autre urbain</c:v>
                  </c:pt>
                  <c:pt idx="5">
                    <c:v>Rural</c:v>
                  </c:pt>
                  <c:pt idx="6">
                    <c:v>Bamako</c:v>
                  </c:pt>
                  <c:pt idx="7">
                    <c:v>Autre urbain</c:v>
                  </c:pt>
                  <c:pt idx="8">
                    <c:v>Rural</c:v>
                  </c:pt>
                  <c:pt idx="9">
                    <c:v>Bamako</c:v>
                  </c:pt>
                  <c:pt idx="10">
                    <c:v>Autre urbain</c:v>
                  </c:pt>
                  <c:pt idx="11">
                    <c:v>Rural</c:v>
                  </c:pt>
                  <c:pt idx="12">
                    <c:v>Bamako</c:v>
                  </c:pt>
                  <c:pt idx="13">
                    <c:v>Autre urbain</c:v>
                  </c:pt>
                  <c:pt idx="14">
                    <c:v>Rural</c:v>
                  </c:pt>
                </c:lvl>
                <c:lvl>
                  <c:pt idx="0">
                    <c:v>2013</c:v>
                  </c:pt>
                  <c:pt idx="3">
                    <c:v>2014</c:v>
                  </c:pt>
                  <c:pt idx="6">
                    <c:v>2015</c:v>
                  </c:pt>
                  <c:pt idx="9">
                    <c:v>2016</c:v>
                  </c:pt>
                  <c:pt idx="12">
                    <c:v>2017</c:v>
                  </c:pt>
                </c:lvl>
              </c:multiLvlStrCache>
            </c:multiLvlStrRef>
          </c:cat>
          <c:val>
            <c:numRef>
              <c:f>Evolution_Zone_Résidence!$B$3:$P$3</c:f>
              <c:numCache>
                <c:formatCode>0.0</c:formatCode>
                <c:ptCount val="15"/>
                <c:pt idx="0">
                  <c:v>34.200000000000003</c:v>
                </c:pt>
                <c:pt idx="1">
                  <c:v>42.1</c:v>
                </c:pt>
                <c:pt idx="2">
                  <c:v>74.599999999999994</c:v>
                </c:pt>
                <c:pt idx="3">
                  <c:v>30.6</c:v>
                </c:pt>
                <c:pt idx="4">
                  <c:v>32.1</c:v>
                </c:pt>
                <c:pt idx="5">
                  <c:v>65.5</c:v>
                </c:pt>
                <c:pt idx="6">
                  <c:v>32.299999999999997</c:v>
                </c:pt>
                <c:pt idx="7">
                  <c:v>31.9</c:v>
                </c:pt>
                <c:pt idx="8">
                  <c:v>54.8</c:v>
                </c:pt>
                <c:pt idx="9">
                  <c:v>32.799999999999997</c:v>
                </c:pt>
                <c:pt idx="10">
                  <c:v>28.2</c:v>
                </c:pt>
                <c:pt idx="11">
                  <c:v>48.9</c:v>
                </c:pt>
                <c:pt idx="12">
                  <c:v>30.2</c:v>
                </c:pt>
                <c:pt idx="13">
                  <c:v>29.7</c:v>
                </c:pt>
                <c:pt idx="14">
                  <c:v>55.1</c:v>
                </c:pt>
              </c:numCache>
            </c:numRef>
          </c:val>
          <c:extLst>
            <c:ext xmlns:c16="http://schemas.microsoft.com/office/drawing/2014/chart" uri="{C3380CC4-5D6E-409C-BE32-E72D297353CC}">
              <c16:uniqueId val="{00000000-D6D7-4357-898D-909E9883F97C}"/>
            </c:ext>
          </c:extLst>
        </c:ser>
        <c:ser>
          <c:idx val="2"/>
          <c:order val="2"/>
          <c:tx>
            <c:strRef>
              <c:f>Evolution_Zone_Résidence!$A$5</c:f>
              <c:strCache>
                <c:ptCount val="1"/>
                <c:pt idx="0">
                  <c:v>Inactivité</c:v>
                </c:pt>
              </c:strCache>
            </c:strRef>
          </c:tx>
          <c:spPr>
            <a:solidFill>
              <a:schemeClr val="accent3"/>
            </a:solidFill>
            <a:ln>
              <a:noFill/>
            </a:ln>
            <a:effectLst/>
          </c:spPr>
          <c:invertIfNegative val="0"/>
          <c:cat>
            <c:multiLvlStrRef>
              <c:f>Evolution_Zone_Résidence!$B$1:$P$2</c:f>
              <c:multiLvlStrCache>
                <c:ptCount val="15"/>
                <c:lvl>
                  <c:pt idx="0">
                    <c:v>Bamako</c:v>
                  </c:pt>
                  <c:pt idx="1">
                    <c:v>Autre urbain</c:v>
                  </c:pt>
                  <c:pt idx="2">
                    <c:v>Rural</c:v>
                  </c:pt>
                  <c:pt idx="3">
                    <c:v>Bamako</c:v>
                  </c:pt>
                  <c:pt idx="4">
                    <c:v>Autre urbain</c:v>
                  </c:pt>
                  <c:pt idx="5">
                    <c:v>Rural</c:v>
                  </c:pt>
                  <c:pt idx="6">
                    <c:v>Bamako</c:v>
                  </c:pt>
                  <c:pt idx="7">
                    <c:v>Autre urbain</c:v>
                  </c:pt>
                  <c:pt idx="8">
                    <c:v>Rural</c:v>
                  </c:pt>
                  <c:pt idx="9">
                    <c:v>Bamako</c:v>
                  </c:pt>
                  <c:pt idx="10">
                    <c:v>Autre urbain</c:v>
                  </c:pt>
                  <c:pt idx="11">
                    <c:v>Rural</c:v>
                  </c:pt>
                  <c:pt idx="12">
                    <c:v>Bamako</c:v>
                  </c:pt>
                  <c:pt idx="13">
                    <c:v>Autre urbain</c:v>
                  </c:pt>
                  <c:pt idx="14">
                    <c:v>Rural</c:v>
                  </c:pt>
                </c:lvl>
                <c:lvl>
                  <c:pt idx="0">
                    <c:v>2013</c:v>
                  </c:pt>
                  <c:pt idx="3">
                    <c:v>2014</c:v>
                  </c:pt>
                  <c:pt idx="6">
                    <c:v>2015</c:v>
                  </c:pt>
                  <c:pt idx="9">
                    <c:v>2016</c:v>
                  </c:pt>
                  <c:pt idx="12">
                    <c:v>2017</c:v>
                  </c:pt>
                </c:lvl>
              </c:multiLvlStrCache>
            </c:multiLvlStrRef>
          </c:cat>
          <c:val>
            <c:numRef>
              <c:f>Evolution_Zone_Résidence!$B$5:$P$5</c:f>
              <c:numCache>
                <c:formatCode>General</c:formatCode>
                <c:ptCount val="15"/>
                <c:pt idx="0">
                  <c:v>58</c:v>
                </c:pt>
                <c:pt idx="1">
                  <c:v>51.1</c:v>
                </c:pt>
                <c:pt idx="2">
                  <c:v>19.2</c:v>
                </c:pt>
                <c:pt idx="3">
                  <c:v>60.1</c:v>
                </c:pt>
                <c:pt idx="4">
                  <c:v>60.1</c:v>
                </c:pt>
                <c:pt idx="5">
                  <c:v>28.4</c:v>
                </c:pt>
                <c:pt idx="6">
                  <c:v>58</c:v>
                </c:pt>
                <c:pt idx="7">
                  <c:v>56.7</c:v>
                </c:pt>
                <c:pt idx="8">
                  <c:v>29.9</c:v>
                </c:pt>
                <c:pt idx="9">
                  <c:v>55.6</c:v>
                </c:pt>
                <c:pt idx="10">
                  <c:v>54.3</c:v>
                </c:pt>
                <c:pt idx="11">
                  <c:v>30.2</c:v>
                </c:pt>
                <c:pt idx="12">
                  <c:v>58.4</c:v>
                </c:pt>
                <c:pt idx="13">
                  <c:v>57.8</c:v>
                </c:pt>
                <c:pt idx="14">
                  <c:v>31</c:v>
                </c:pt>
              </c:numCache>
            </c:numRef>
          </c:val>
          <c:extLst>
            <c:ext xmlns:c16="http://schemas.microsoft.com/office/drawing/2014/chart" uri="{C3380CC4-5D6E-409C-BE32-E72D297353CC}">
              <c16:uniqueId val="{00000001-D6D7-4357-898D-909E9883F97C}"/>
            </c:ext>
          </c:extLst>
        </c:ser>
        <c:ser>
          <c:idx val="3"/>
          <c:order val="3"/>
          <c:tx>
            <c:strRef>
              <c:f>Evolution_Zone_Résidence!$A$6</c:f>
              <c:strCache>
                <c:ptCount val="1"/>
                <c:pt idx="0">
                  <c:v>Sous-emploi</c:v>
                </c:pt>
              </c:strCache>
            </c:strRef>
          </c:tx>
          <c:spPr>
            <a:solidFill>
              <a:schemeClr val="accent4"/>
            </a:solidFill>
            <a:ln>
              <a:noFill/>
            </a:ln>
            <a:effectLst/>
          </c:spPr>
          <c:invertIfNegative val="0"/>
          <c:cat>
            <c:multiLvlStrRef>
              <c:f>Evolution_Zone_Résidence!$B$1:$P$2</c:f>
              <c:multiLvlStrCache>
                <c:ptCount val="15"/>
                <c:lvl>
                  <c:pt idx="0">
                    <c:v>Bamako</c:v>
                  </c:pt>
                  <c:pt idx="1">
                    <c:v>Autre urbain</c:v>
                  </c:pt>
                  <c:pt idx="2">
                    <c:v>Rural</c:v>
                  </c:pt>
                  <c:pt idx="3">
                    <c:v>Bamako</c:v>
                  </c:pt>
                  <c:pt idx="4">
                    <c:v>Autre urbain</c:v>
                  </c:pt>
                  <c:pt idx="5">
                    <c:v>Rural</c:v>
                  </c:pt>
                  <c:pt idx="6">
                    <c:v>Bamako</c:v>
                  </c:pt>
                  <c:pt idx="7">
                    <c:v>Autre urbain</c:v>
                  </c:pt>
                  <c:pt idx="8">
                    <c:v>Rural</c:v>
                  </c:pt>
                  <c:pt idx="9">
                    <c:v>Bamako</c:v>
                  </c:pt>
                  <c:pt idx="10">
                    <c:v>Autre urbain</c:v>
                  </c:pt>
                  <c:pt idx="11">
                    <c:v>Rural</c:v>
                  </c:pt>
                  <c:pt idx="12">
                    <c:v>Bamako</c:v>
                  </c:pt>
                  <c:pt idx="13">
                    <c:v>Autre urbain</c:v>
                  </c:pt>
                  <c:pt idx="14">
                    <c:v>Rural</c:v>
                  </c:pt>
                </c:lvl>
                <c:lvl>
                  <c:pt idx="0">
                    <c:v>2013</c:v>
                  </c:pt>
                  <c:pt idx="3">
                    <c:v>2014</c:v>
                  </c:pt>
                  <c:pt idx="6">
                    <c:v>2015</c:v>
                  </c:pt>
                  <c:pt idx="9">
                    <c:v>2016</c:v>
                  </c:pt>
                  <c:pt idx="12">
                    <c:v>2017</c:v>
                  </c:pt>
                </c:lvl>
              </c:multiLvlStrCache>
            </c:multiLvlStrRef>
          </c:cat>
          <c:val>
            <c:numRef>
              <c:f>Evolution_Zone_Résidence!$B$6:$P$6</c:f>
              <c:numCache>
                <c:formatCode>General</c:formatCode>
                <c:ptCount val="15"/>
                <c:pt idx="0">
                  <c:v>20.8</c:v>
                </c:pt>
                <c:pt idx="1">
                  <c:v>19.2</c:v>
                </c:pt>
                <c:pt idx="2">
                  <c:v>10.7</c:v>
                </c:pt>
                <c:pt idx="3">
                  <c:v>23.3</c:v>
                </c:pt>
                <c:pt idx="4">
                  <c:v>19.100000000000001</c:v>
                </c:pt>
                <c:pt idx="5">
                  <c:v>9.1999999999999993</c:v>
                </c:pt>
                <c:pt idx="6">
                  <c:v>16.3</c:v>
                </c:pt>
                <c:pt idx="7">
                  <c:v>12.5</c:v>
                </c:pt>
                <c:pt idx="8">
                  <c:v>8.6999999999999993</c:v>
                </c:pt>
                <c:pt idx="9">
                  <c:v>21.7</c:v>
                </c:pt>
                <c:pt idx="10">
                  <c:v>12.8</c:v>
                </c:pt>
                <c:pt idx="11">
                  <c:v>10.8</c:v>
                </c:pt>
                <c:pt idx="12">
                  <c:v>16.600000000000001</c:v>
                </c:pt>
                <c:pt idx="13">
                  <c:v>13</c:v>
                </c:pt>
                <c:pt idx="14">
                  <c:v>10.6</c:v>
                </c:pt>
              </c:numCache>
            </c:numRef>
          </c:val>
          <c:extLst>
            <c:ext xmlns:c16="http://schemas.microsoft.com/office/drawing/2014/chart" uri="{C3380CC4-5D6E-409C-BE32-E72D297353CC}">
              <c16:uniqueId val="{00000002-D6D7-4357-898D-909E9883F97C}"/>
            </c:ext>
          </c:extLst>
        </c:ser>
        <c:dLbls>
          <c:showLegendKey val="0"/>
          <c:showVal val="0"/>
          <c:showCatName val="0"/>
          <c:showSerName val="0"/>
          <c:showPercent val="0"/>
          <c:showBubbleSize val="0"/>
        </c:dLbls>
        <c:gapWidth val="219"/>
        <c:overlap val="-27"/>
        <c:axId val="402531696"/>
        <c:axId val="402527888"/>
      </c:barChart>
      <c:barChart>
        <c:barDir val="col"/>
        <c:grouping val="clustered"/>
        <c:varyColors val="0"/>
        <c:ser>
          <c:idx val="1"/>
          <c:order val="1"/>
          <c:tx>
            <c:strRef>
              <c:f>Evolution_Zone_Résidence!$A$4</c:f>
              <c:strCache>
                <c:ptCount val="1"/>
                <c:pt idx="0">
                  <c:v>Chômage</c:v>
                </c:pt>
              </c:strCache>
            </c:strRef>
          </c:tx>
          <c:spPr>
            <a:solidFill>
              <a:schemeClr val="accent2"/>
            </a:solidFill>
            <a:ln>
              <a:noFill/>
            </a:ln>
            <a:effectLst/>
          </c:spPr>
          <c:invertIfNegative val="0"/>
          <c:cat>
            <c:multiLvlStrRef>
              <c:f>Evolution_Zone_Résidence!$B$1:$P$2</c:f>
              <c:multiLvlStrCache>
                <c:ptCount val="15"/>
                <c:lvl>
                  <c:pt idx="0">
                    <c:v>Bamako</c:v>
                  </c:pt>
                  <c:pt idx="1">
                    <c:v>Autre urbain</c:v>
                  </c:pt>
                  <c:pt idx="2">
                    <c:v>Rural</c:v>
                  </c:pt>
                  <c:pt idx="3">
                    <c:v>Bamako</c:v>
                  </c:pt>
                  <c:pt idx="4">
                    <c:v>Autre urbain</c:v>
                  </c:pt>
                  <c:pt idx="5">
                    <c:v>Rural</c:v>
                  </c:pt>
                  <c:pt idx="6">
                    <c:v>Bamako</c:v>
                  </c:pt>
                  <c:pt idx="7">
                    <c:v>Autre urbain</c:v>
                  </c:pt>
                  <c:pt idx="8">
                    <c:v>Rural</c:v>
                  </c:pt>
                  <c:pt idx="9">
                    <c:v>Bamako</c:v>
                  </c:pt>
                  <c:pt idx="10">
                    <c:v>Autre urbain</c:v>
                  </c:pt>
                  <c:pt idx="11">
                    <c:v>Rural</c:v>
                  </c:pt>
                  <c:pt idx="12">
                    <c:v>Bamako</c:v>
                  </c:pt>
                  <c:pt idx="13">
                    <c:v>Autre urbain</c:v>
                  </c:pt>
                  <c:pt idx="14">
                    <c:v>Rural</c:v>
                  </c:pt>
                </c:lvl>
                <c:lvl>
                  <c:pt idx="0">
                    <c:v>2013</c:v>
                  </c:pt>
                  <c:pt idx="3">
                    <c:v>2014</c:v>
                  </c:pt>
                  <c:pt idx="6">
                    <c:v>2015</c:v>
                  </c:pt>
                  <c:pt idx="9">
                    <c:v>2016</c:v>
                  </c:pt>
                  <c:pt idx="12">
                    <c:v>2017</c:v>
                  </c:pt>
                </c:lvl>
              </c:multiLvlStrCache>
            </c:multiLvlStrRef>
          </c:cat>
          <c:val>
            <c:numRef>
              <c:f>Evolution_Zone_Résidence!$B$4:$P$4</c:f>
              <c:numCache>
                <c:formatCode>General</c:formatCode>
                <c:ptCount val="15"/>
                <c:pt idx="0">
                  <c:v>18.600000000000001</c:v>
                </c:pt>
                <c:pt idx="1">
                  <c:v>13.9</c:v>
                </c:pt>
                <c:pt idx="2">
                  <c:v>7.7</c:v>
                </c:pt>
                <c:pt idx="3">
                  <c:v>23.4</c:v>
                </c:pt>
                <c:pt idx="4">
                  <c:v>19.600000000000001</c:v>
                </c:pt>
                <c:pt idx="5">
                  <c:v>8.5</c:v>
                </c:pt>
                <c:pt idx="6">
                  <c:v>23.2</c:v>
                </c:pt>
                <c:pt idx="7">
                  <c:v>26.4</c:v>
                </c:pt>
                <c:pt idx="8">
                  <c:v>21.9</c:v>
                </c:pt>
                <c:pt idx="9">
                  <c:v>26.1</c:v>
                </c:pt>
                <c:pt idx="10">
                  <c:v>38.299999999999997</c:v>
                </c:pt>
                <c:pt idx="11">
                  <c:v>30</c:v>
                </c:pt>
                <c:pt idx="12">
                  <c:v>27.5</c:v>
                </c:pt>
                <c:pt idx="13">
                  <c:v>29.5</c:v>
                </c:pt>
                <c:pt idx="14">
                  <c:v>20.100000000000001</c:v>
                </c:pt>
              </c:numCache>
            </c:numRef>
          </c:val>
          <c:extLst>
            <c:ext xmlns:c16="http://schemas.microsoft.com/office/drawing/2014/chart" uri="{C3380CC4-5D6E-409C-BE32-E72D297353CC}">
              <c16:uniqueId val="{00000003-D6D7-4357-898D-909E9883F97C}"/>
            </c:ext>
          </c:extLst>
        </c:ser>
        <c:dLbls>
          <c:showLegendKey val="0"/>
          <c:showVal val="0"/>
          <c:showCatName val="0"/>
          <c:showSerName val="0"/>
          <c:showPercent val="0"/>
          <c:showBubbleSize val="0"/>
        </c:dLbls>
        <c:gapWidth val="219"/>
        <c:overlap val="-27"/>
        <c:axId val="402524624"/>
        <c:axId val="402530064"/>
      </c:barChart>
      <c:catAx>
        <c:axId val="40253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02527888"/>
        <c:crosses val="autoZero"/>
        <c:auto val="1"/>
        <c:lblAlgn val="ctr"/>
        <c:lblOffset val="100"/>
        <c:noMultiLvlLbl val="0"/>
      </c:catAx>
      <c:valAx>
        <c:axId val="40252788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02531696"/>
        <c:crosses val="autoZero"/>
        <c:crossBetween val="between"/>
      </c:valAx>
      <c:valAx>
        <c:axId val="40253006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02524624"/>
        <c:crosses val="max"/>
        <c:crossBetween val="between"/>
      </c:valAx>
      <c:catAx>
        <c:axId val="402524624"/>
        <c:scaling>
          <c:orientation val="minMax"/>
        </c:scaling>
        <c:delete val="1"/>
        <c:axPos val="b"/>
        <c:numFmt formatCode="General" sourceLinked="1"/>
        <c:majorTickMark val="out"/>
        <c:minorTickMark val="none"/>
        <c:tickLblPos val="nextTo"/>
        <c:crossAx val="4025300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CCFBB-891C-4DD5-AAF7-EE712688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14882</Words>
  <Characters>81855</Characters>
  <Application>Microsoft Office Word</Application>
  <DocSecurity>0</DocSecurity>
  <Lines>682</Lines>
  <Paragraphs>193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ALL IN ONE</dc:creator>
  <cp:lastModifiedBy>User</cp:lastModifiedBy>
  <cp:revision>8</cp:revision>
  <cp:lastPrinted>2018-06-11T11:07:00Z</cp:lastPrinted>
  <dcterms:created xsi:type="dcterms:W3CDTF">2018-06-13T18:09:00Z</dcterms:created>
  <dcterms:modified xsi:type="dcterms:W3CDTF">2018-06-19T14:05:00Z</dcterms:modified>
</cp:coreProperties>
</file>